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CD1B7D" w14:textId="77777777" w:rsidR="006D5963" w:rsidRDefault="006D5963" w:rsidP="006D5963">
      <w:pPr>
        <w:pStyle w:val="Heading1"/>
        <w:keepNext w:val="0"/>
        <w:spacing w:line="100" w:lineRule="atLeast"/>
        <w:ind w:left="432" w:hanging="432"/>
        <w:jc w:val="center"/>
        <w:rPr>
          <w:sz w:val="40"/>
          <w:szCs w:val="40"/>
        </w:rPr>
      </w:pPr>
      <w:r w:rsidRPr="000D1746">
        <w:rPr>
          <w:sz w:val="40"/>
          <w:szCs w:val="40"/>
        </w:rPr>
        <w:t>Terms of Reference</w:t>
      </w:r>
    </w:p>
    <w:p w14:paraId="06CD1B7E" w14:textId="77777777" w:rsidR="006D5963" w:rsidRPr="000D1746" w:rsidRDefault="006D5963" w:rsidP="006D5963">
      <w:pPr>
        <w:pStyle w:val="BodyText"/>
        <w:jc w:val="center"/>
      </w:pPr>
    </w:p>
    <w:p w14:paraId="06CD1B7F" w14:textId="77777777" w:rsidR="006D5963" w:rsidRPr="0001616D" w:rsidRDefault="006D5963" w:rsidP="006D5963">
      <w:pPr>
        <w:pStyle w:val="Heading1"/>
        <w:keepNext w:val="0"/>
        <w:spacing w:line="100" w:lineRule="atLeast"/>
        <w:ind w:left="432" w:hanging="432"/>
        <w:jc w:val="center"/>
        <w:rPr>
          <w:i/>
        </w:rPr>
      </w:pPr>
      <w:r w:rsidRPr="0001616D">
        <w:rPr>
          <w:i/>
          <w:sz w:val="28"/>
          <w:szCs w:val="28"/>
        </w:rPr>
        <w:t>for</w:t>
      </w:r>
    </w:p>
    <w:p w14:paraId="06CD1B80" w14:textId="77777777" w:rsidR="006D5963" w:rsidRPr="0001616D" w:rsidRDefault="006D5963" w:rsidP="006D5963">
      <w:pPr>
        <w:pStyle w:val="Heading1"/>
        <w:keepNext w:val="0"/>
        <w:spacing w:line="100" w:lineRule="atLeast"/>
        <w:ind w:left="432" w:hanging="432"/>
        <w:jc w:val="center"/>
      </w:pPr>
    </w:p>
    <w:p w14:paraId="06CD1B81" w14:textId="77777777" w:rsidR="006D5963" w:rsidRDefault="006D5963" w:rsidP="006D5963">
      <w:pPr>
        <w:pStyle w:val="Heading1"/>
        <w:keepNext w:val="0"/>
        <w:spacing w:line="100" w:lineRule="atLeast"/>
        <w:ind w:left="432" w:hanging="432"/>
        <w:jc w:val="center"/>
        <w:rPr>
          <w:sz w:val="40"/>
          <w:szCs w:val="40"/>
        </w:rPr>
      </w:pPr>
      <w:r w:rsidRPr="000D1746">
        <w:rPr>
          <w:sz w:val="40"/>
          <w:szCs w:val="40"/>
        </w:rPr>
        <w:t xml:space="preserve">The Australian Greens </w:t>
      </w:r>
    </w:p>
    <w:p w14:paraId="06CD1B82" w14:textId="77777777" w:rsidR="006D5963" w:rsidRPr="000D1746" w:rsidRDefault="006D5963" w:rsidP="006D5963">
      <w:pPr>
        <w:pStyle w:val="Heading1"/>
        <w:ind w:left="432"/>
        <w:jc w:val="center"/>
        <w:rPr>
          <w:sz w:val="40"/>
          <w:szCs w:val="40"/>
        </w:rPr>
      </w:pPr>
      <w:r w:rsidRPr="00596D74">
        <w:rPr>
          <w:sz w:val="40"/>
          <w:szCs w:val="40"/>
        </w:rPr>
        <w:t xml:space="preserve">International Development </w:t>
      </w:r>
      <w:r w:rsidRPr="000D1746">
        <w:rPr>
          <w:sz w:val="40"/>
          <w:szCs w:val="40"/>
        </w:rPr>
        <w:t>Committee (IDC)</w:t>
      </w:r>
    </w:p>
    <w:p w14:paraId="06CD1B83" w14:textId="77777777" w:rsidR="006D5963" w:rsidRDefault="006D5963" w:rsidP="006D5963">
      <w:pPr>
        <w:pStyle w:val="BodyText"/>
      </w:pPr>
    </w:p>
    <w:p w14:paraId="06CD1B84" w14:textId="77777777" w:rsidR="006D5963" w:rsidRDefault="006D5963" w:rsidP="006D5963">
      <w:pPr>
        <w:pStyle w:val="Heading2"/>
        <w:keepNext w:val="0"/>
        <w:spacing w:before="120" w:after="80" w:line="100" w:lineRule="atLeast"/>
        <w:ind w:left="360"/>
      </w:pPr>
      <w:r>
        <w:t>Background</w:t>
      </w:r>
    </w:p>
    <w:p w14:paraId="06CD1B85" w14:textId="77777777" w:rsidR="006D5963" w:rsidRPr="00D0189C" w:rsidRDefault="006D5963" w:rsidP="006D5963">
      <w:pPr>
        <w:pStyle w:val="TableContents"/>
        <w:ind w:left="424"/>
        <w:rPr>
          <w:sz w:val="20"/>
          <w:szCs w:val="20"/>
        </w:rPr>
      </w:pPr>
      <w:r w:rsidRPr="00D0189C">
        <w:rPr>
          <w:sz w:val="20"/>
          <w:szCs w:val="20"/>
        </w:rPr>
        <w:t>The Federal Government provides funds to the Australian Greens under the Australian Political Parties for Democracy Program (APPDP). These funds shall be managed for the Australian Greens by this committee.</w:t>
      </w:r>
    </w:p>
    <w:p w14:paraId="06CD1B86" w14:textId="77777777" w:rsidR="006D5963" w:rsidRPr="00D0189C" w:rsidRDefault="006D5963" w:rsidP="006D5963">
      <w:pPr>
        <w:pStyle w:val="TableContents"/>
        <w:ind w:left="424"/>
        <w:rPr>
          <w:sz w:val="20"/>
          <w:szCs w:val="20"/>
        </w:rPr>
      </w:pPr>
    </w:p>
    <w:p w14:paraId="06CD1B87" w14:textId="77777777" w:rsidR="006D5963" w:rsidRPr="00D0189C" w:rsidRDefault="006D5963" w:rsidP="006D5963">
      <w:pPr>
        <w:pStyle w:val="Heading2"/>
        <w:keepNext w:val="0"/>
        <w:spacing w:before="120" w:after="80" w:line="100" w:lineRule="atLeast"/>
        <w:ind w:left="360"/>
      </w:pPr>
      <w:r w:rsidRPr="00D0189C">
        <w:t>Role</w:t>
      </w:r>
    </w:p>
    <w:p w14:paraId="06CD1B88" w14:textId="77777777" w:rsidR="006D5963" w:rsidRPr="00D0189C" w:rsidRDefault="006D5963" w:rsidP="006D5963">
      <w:pPr>
        <w:pStyle w:val="TableContents"/>
        <w:ind w:left="424"/>
        <w:rPr>
          <w:sz w:val="20"/>
          <w:szCs w:val="20"/>
        </w:rPr>
      </w:pPr>
      <w:r w:rsidRPr="00D0189C">
        <w:rPr>
          <w:sz w:val="20"/>
          <w:szCs w:val="20"/>
        </w:rPr>
        <w:t>To manage and administer APPDP grants and other funds managed by the Australian Greens for complementary purposes, in order to assist Greens parties and organisations, principally in developing countries, to develop their capacity to participate in democratic political processes.</w:t>
      </w:r>
    </w:p>
    <w:p w14:paraId="06CD1B89" w14:textId="77777777" w:rsidR="006D5963" w:rsidRPr="00D0189C" w:rsidRDefault="006D5963" w:rsidP="006D5963">
      <w:pPr>
        <w:pStyle w:val="TableContents"/>
        <w:ind w:left="424"/>
        <w:rPr>
          <w:b/>
          <w:sz w:val="20"/>
          <w:szCs w:val="20"/>
        </w:rPr>
      </w:pPr>
    </w:p>
    <w:p w14:paraId="06CD1B8A" w14:textId="77777777" w:rsidR="006D5963" w:rsidRPr="00D0189C" w:rsidRDefault="006D5963" w:rsidP="006D5963">
      <w:pPr>
        <w:pStyle w:val="TableContents"/>
        <w:ind w:left="424"/>
        <w:rPr>
          <w:sz w:val="20"/>
          <w:szCs w:val="20"/>
        </w:rPr>
      </w:pPr>
      <w:r w:rsidRPr="00D0189C">
        <w:rPr>
          <w:sz w:val="20"/>
          <w:szCs w:val="20"/>
        </w:rPr>
        <w:t>This will involve:</w:t>
      </w:r>
    </w:p>
    <w:p w14:paraId="06CD1B8B" w14:textId="77777777" w:rsidR="006D5963" w:rsidRPr="00D0189C" w:rsidRDefault="006D5963" w:rsidP="006D5963">
      <w:pPr>
        <w:pStyle w:val="TableContents"/>
        <w:widowControl w:val="0"/>
        <w:numPr>
          <w:ilvl w:val="0"/>
          <w:numId w:val="3"/>
        </w:numPr>
        <w:tabs>
          <w:tab w:val="clear" w:pos="0"/>
          <w:tab w:val="num" w:pos="707"/>
        </w:tabs>
        <w:ind w:left="707" w:hanging="283"/>
        <w:jc w:val="left"/>
        <w:rPr>
          <w:sz w:val="20"/>
          <w:szCs w:val="20"/>
        </w:rPr>
      </w:pPr>
      <w:r w:rsidRPr="00D0189C">
        <w:rPr>
          <w:sz w:val="20"/>
          <w:szCs w:val="20"/>
        </w:rPr>
        <w:t xml:space="preserve">Negotiating contracts with the government and other funders, and providing program proposals, operational plans, activity and program reports and financial acquittals as required; </w:t>
      </w:r>
    </w:p>
    <w:p w14:paraId="06CD1B8C" w14:textId="77777777" w:rsidR="006D5963" w:rsidRPr="00D0189C" w:rsidRDefault="006D5963" w:rsidP="006D5963">
      <w:pPr>
        <w:pStyle w:val="TableContents"/>
        <w:widowControl w:val="0"/>
        <w:numPr>
          <w:ilvl w:val="0"/>
          <w:numId w:val="3"/>
        </w:numPr>
        <w:tabs>
          <w:tab w:val="clear" w:pos="0"/>
          <w:tab w:val="num" w:pos="707"/>
        </w:tabs>
        <w:ind w:left="707" w:hanging="283"/>
        <w:jc w:val="left"/>
        <w:rPr>
          <w:sz w:val="20"/>
          <w:szCs w:val="20"/>
        </w:rPr>
      </w:pPr>
      <w:r w:rsidRPr="00D0189C">
        <w:rPr>
          <w:sz w:val="20"/>
          <w:szCs w:val="20"/>
        </w:rPr>
        <w:t>Maintaining appropriate records of program plans, activity reports, budgets and financial expenditure to ensure full accountability of the program to both funders and the party;</w:t>
      </w:r>
    </w:p>
    <w:p w14:paraId="06CD1B8D" w14:textId="77777777" w:rsidR="006D5963" w:rsidRPr="00D0189C" w:rsidRDefault="006D5963" w:rsidP="006D5963">
      <w:pPr>
        <w:pStyle w:val="TableContents"/>
        <w:widowControl w:val="0"/>
        <w:numPr>
          <w:ilvl w:val="0"/>
          <w:numId w:val="3"/>
        </w:numPr>
        <w:tabs>
          <w:tab w:val="clear" w:pos="0"/>
          <w:tab w:val="num" w:pos="707"/>
        </w:tabs>
        <w:ind w:left="707" w:hanging="283"/>
        <w:jc w:val="left"/>
        <w:rPr>
          <w:sz w:val="20"/>
          <w:szCs w:val="20"/>
        </w:rPr>
      </w:pPr>
      <w:r w:rsidRPr="00D0189C">
        <w:rPr>
          <w:sz w:val="20"/>
          <w:szCs w:val="20"/>
        </w:rPr>
        <w:t xml:space="preserve">Liaising with groups such as the Asia Pacific Greens Federation (APGF) and the Global Greens to determine appropriate activities to fund; </w:t>
      </w:r>
    </w:p>
    <w:p w14:paraId="06CD1B8E" w14:textId="77777777" w:rsidR="006D5963" w:rsidRPr="00D0189C" w:rsidRDefault="006D5963" w:rsidP="006D5963">
      <w:pPr>
        <w:pStyle w:val="TableContents"/>
        <w:widowControl w:val="0"/>
        <w:numPr>
          <w:ilvl w:val="0"/>
          <w:numId w:val="3"/>
        </w:numPr>
        <w:tabs>
          <w:tab w:val="clear" w:pos="0"/>
          <w:tab w:val="num" w:pos="707"/>
        </w:tabs>
        <w:ind w:left="707" w:hanging="283"/>
        <w:jc w:val="left"/>
        <w:rPr>
          <w:sz w:val="20"/>
          <w:szCs w:val="20"/>
        </w:rPr>
      </w:pPr>
      <w:r w:rsidRPr="00D0189C">
        <w:rPr>
          <w:sz w:val="20"/>
          <w:szCs w:val="20"/>
        </w:rPr>
        <w:t>Assisting groups to develop proposals, to implement activities, and to provide appropriate reports to IDC when required;</w:t>
      </w:r>
    </w:p>
    <w:p w14:paraId="06CD1B8F" w14:textId="77777777" w:rsidR="006D5963" w:rsidRPr="00D0189C" w:rsidRDefault="006D5963" w:rsidP="006D5963">
      <w:pPr>
        <w:pStyle w:val="TableContents"/>
        <w:widowControl w:val="0"/>
        <w:numPr>
          <w:ilvl w:val="0"/>
          <w:numId w:val="3"/>
        </w:numPr>
        <w:tabs>
          <w:tab w:val="clear" w:pos="0"/>
          <w:tab w:val="num" w:pos="707"/>
        </w:tabs>
        <w:ind w:left="707" w:hanging="283"/>
        <w:jc w:val="left"/>
        <w:rPr>
          <w:sz w:val="20"/>
          <w:szCs w:val="20"/>
        </w:rPr>
      </w:pPr>
      <w:r w:rsidRPr="00D0189C">
        <w:rPr>
          <w:sz w:val="20"/>
          <w:szCs w:val="20"/>
        </w:rPr>
        <w:t>Approving funding for appropriate activities, and monitoring and evaluating all program activities.</w:t>
      </w:r>
    </w:p>
    <w:p w14:paraId="06CD1B90" w14:textId="77777777" w:rsidR="006D5963" w:rsidRPr="00D0189C" w:rsidRDefault="006D5963" w:rsidP="006D5963">
      <w:pPr>
        <w:pStyle w:val="TableContents"/>
        <w:ind w:left="707"/>
        <w:rPr>
          <w:sz w:val="20"/>
          <w:szCs w:val="20"/>
        </w:rPr>
      </w:pPr>
    </w:p>
    <w:p w14:paraId="06CD1B91" w14:textId="77777777" w:rsidR="006D5963" w:rsidRPr="00D0189C" w:rsidRDefault="006D5963" w:rsidP="006D5963">
      <w:pPr>
        <w:pStyle w:val="Heading2"/>
        <w:keepNext w:val="0"/>
        <w:spacing w:before="120" w:after="80" w:line="100" w:lineRule="atLeast"/>
        <w:ind w:left="360"/>
      </w:pPr>
      <w:r w:rsidRPr="00D0189C">
        <w:t>Longevity</w:t>
      </w:r>
    </w:p>
    <w:p w14:paraId="06CD1B92" w14:textId="77777777" w:rsidR="006D5963" w:rsidRPr="00D0189C" w:rsidRDefault="006D5963" w:rsidP="006D5963">
      <w:pPr>
        <w:pStyle w:val="TableContents"/>
        <w:ind w:left="424"/>
        <w:rPr>
          <w:sz w:val="20"/>
          <w:szCs w:val="20"/>
        </w:rPr>
      </w:pPr>
      <w:r w:rsidRPr="00D0189C">
        <w:rPr>
          <w:sz w:val="20"/>
          <w:szCs w:val="20"/>
        </w:rPr>
        <w:t>The Committee is an on-going standing working group of the Australian Greens.</w:t>
      </w:r>
    </w:p>
    <w:p w14:paraId="06CD1B93" w14:textId="77777777" w:rsidR="006D5963" w:rsidRPr="00D0189C" w:rsidRDefault="006D5963" w:rsidP="006D5963">
      <w:pPr>
        <w:ind w:left="426"/>
        <w:rPr>
          <w:rFonts w:ascii="Arial" w:hAnsi="Arial" w:cs="Arial"/>
          <w:sz w:val="20"/>
          <w:szCs w:val="20"/>
        </w:rPr>
      </w:pPr>
    </w:p>
    <w:p w14:paraId="06CD1B94" w14:textId="77777777" w:rsidR="006D5963" w:rsidRPr="00D0189C" w:rsidRDefault="006D5963" w:rsidP="006D5963">
      <w:pPr>
        <w:pStyle w:val="Heading2"/>
        <w:keepNext w:val="0"/>
        <w:spacing w:before="120" w:after="80" w:line="100" w:lineRule="atLeast"/>
        <w:ind w:left="360"/>
      </w:pPr>
      <w:r w:rsidRPr="00D0189C">
        <w:t>Responsibility and Accountability</w:t>
      </w:r>
    </w:p>
    <w:p w14:paraId="06CD1B95" w14:textId="77777777" w:rsidR="006D5963" w:rsidRPr="00D0189C" w:rsidRDefault="006D5963" w:rsidP="006D5963">
      <w:pPr>
        <w:pStyle w:val="TableContents"/>
        <w:ind w:left="424"/>
        <w:rPr>
          <w:sz w:val="20"/>
          <w:szCs w:val="20"/>
        </w:rPr>
      </w:pPr>
      <w:r w:rsidRPr="00D0189C">
        <w:rPr>
          <w:sz w:val="20"/>
          <w:szCs w:val="20"/>
        </w:rPr>
        <w:t>The Committee:</w:t>
      </w:r>
    </w:p>
    <w:p w14:paraId="06CD1B96" w14:textId="77777777" w:rsidR="006D5963" w:rsidRPr="00D0189C" w:rsidRDefault="006D5963" w:rsidP="006D5963">
      <w:pPr>
        <w:pStyle w:val="TableContents"/>
        <w:widowControl w:val="0"/>
        <w:numPr>
          <w:ilvl w:val="0"/>
          <w:numId w:val="4"/>
        </w:numPr>
        <w:tabs>
          <w:tab w:val="clear" w:pos="0"/>
          <w:tab w:val="num" w:pos="707"/>
        </w:tabs>
        <w:ind w:left="707" w:hanging="283"/>
        <w:jc w:val="left"/>
        <w:rPr>
          <w:sz w:val="20"/>
          <w:szCs w:val="20"/>
        </w:rPr>
      </w:pPr>
      <w:r w:rsidRPr="00D0189C">
        <w:rPr>
          <w:bCs/>
          <w:sz w:val="20"/>
          <w:szCs w:val="20"/>
        </w:rPr>
        <w:t>Will abide by the conditions set out in all relevant funding contracts;</w:t>
      </w:r>
    </w:p>
    <w:p w14:paraId="06CD1B97" w14:textId="77777777" w:rsidR="006D5963" w:rsidRPr="00D0189C" w:rsidRDefault="006D5963" w:rsidP="006D5963">
      <w:pPr>
        <w:pStyle w:val="TableContents"/>
        <w:widowControl w:val="0"/>
        <w:numPr>
          <w:ilvl w:val="0"/>
          <w:numId w:val="4"/>
        </w:numPr>
        <w:tabs>
          <w:tab w:val="clear" w:pos="0"/>
          <w:tab w:val="num" w:pos="707"/>
        </w:tabs>
        <w:ind w:left="707" w:hanging="283"/>
        <w:jc w:val="left"/>
        <w:rPr>
          <w:sz w:val="20"/>
          <w:szCs w:val="20"/>
        </w:rPr>
      </w:pPr>
      <w:r w:rsidRPr="00D0189C">
        <w:rPr>
          <w:sz w:val="20"/>
          <w:szCs w:val="20"/>
        </w:rPr>
        <w:t>Be accountable to National Council and National Conference;</w:t>
      </w:r>
    </w:p>
    <w:p w14:paraId="06CD1B98" w14:textId="77777777" w:rsidR="006D5963" w:rsidRPr="00D0189C" w:rsidRDefault="006D5963" w:rsidP="006D5963">
      <w:pPr>
        <w:pStyle w:val="TableContents"/>
        <w:widowControl w:val="0"/>
        <w:numPr>
          <w:ilvl w:val="0"/>
          <w:numId w:val="4"/>
        </w:numPr>
        <w:tabs>
          <w:tab w:val="clear" w:pos="0"/>
          <w:tab w:val="num" w:pos="707"/>
        </w:tabs>
        <w:ind w:left="707" w:hanging="283"/>
        <w:jc w:val="left"/>
        <w:rPr>
          <w:sz w:val="20"/>
          <w:szCs w:val="20"/>
        </w:rPr>
      </w:pPr>
      <w:r w:rsidRPr="00D0189C">
        <w:rPr>
          <w:sz w:val="20"/>
          <w:szCs w:val="20"/>
        </w:rPr>
        <w:t>Be responsible for:</w:t>
      </w:r>
    </w:p>
    <w:p w14:paraId="06CD1B99" w14:textId="77777777" w:rsidR="006D5963" w:rsidRPr="00D0189C" w:rsidRDefault="006D5963" w:rsidP="006D5963">
      <w:pPr>
        <w:pStyle w:val="TableContents"/>
        <w:widowControl w:val="0"/>
        <w:numPr>
          <w:ilvl w:val="1"/>
          <w:numId w:val="5"/>
        </w:numPr>
        <w:tabs>
          <w:tab w:val="clear" w:pos="0"/>
        </w:tabs>
        <w:ind w:left="1418" w:hanging="425"/>
        <w:jc w:val="left"/>
        <w:rPr>
          <w:sz w:val="20"/>
          <w:szCs w:val="20"/>
        </w:rPr>
      </w:pPr>
      <w:r w:rsidRPr="00D0189C">
        <w:rPr>
          <w:sz w:val="20"/>
          <w:szCs w:val="20"/>
        </w:rPr>
        <w:t>Providing an annual report to the Australian Greens National Conference containing a summary of achievements and any significant issues;</w:t>
      </w:r>
    </w:p>
    <w:p w14:paraId="06CD1B9A" w14:textId="77777777" w:rsidR="006D5963" w:rsidRPr="00D0189C" w:rsidRDefault="006D5963" w:rsidP="006D5963">
      <w:pPr>
        <w:pStyle w:val="TableContents"/>
        <w:widowControl w:val="0"/>
        <w:numPr>
          <w:ilvl w:val="1"/>
          <w:numId w:val="5"/>
        </w:numPr>
        <w:tabs>
          <w:tab w:val="clear" w:pos="0"/>
        </w:tabs>
        <w:ind w:left="1418" w:hanging="425"/>
        <w:jc w:val="left"/>
        <w:rPr>
          <w:sz w:val="20"/>
          <w:szCs w:val="20"/>
        </w:rPr>
      </w:pPr>
      <w:r w:rsidRPr="00D0189C">
        <w:rPr>
          <w:sz w:val="20"/>
          <w:szCs w:val="20"/>
        </w:rPr>
        <w:t>Reporting as required to National Council meetings and National Conference;</w:t>
      </w:r>
    </w:p>
    <w:p w14:paraId="06CD1B9B" w14:textId="77777777" w:rsidR="006D5963" w:rsidRPr="00D0189C" w:rsidRDefault="006D5963" w:rsidP="006D5963">
      <w:pPr>
        <w:pStyle w:val="TableContents"/>
        <w:widowControl w:val="0"/>
        <w:numPr>
          <w:ilvl w:val="1"/>
          <w:numId w:val="5"/>
        </w:numPr>
        <w:tabs>
          <w:tab w:val="clear" w:pos="0"/>
        </w:tabs>
        <w:ind w:left="1418" w:hanging="425"/>
        <w:jc w:val="left"/>
        <w:rPr>
          <w:sz w:val="20"/>
          <w:szCs w:val="20"/>
        </w:rPr>
      </w:pPr>
      <w:r w:rsidRPr="00D0189C">
        <w:rPr>
          <w:sz w:val="20"/>
          <w:szCs w:val="20"/>
        </w:rPr>
        <w:t>Reporting to Greens members via newsletters and magazine articles; and</w:t>
      </w:r>
    </w:p>
    <w:p w14:paraId="06CD1B9C" w14:textId="77777777" w:rsidR="006D5963" w:rsidRPr="00D0189C" w:rsidRDefault="006D5963" w:rsidP="006D5963">
      <w:pPr>
        <w:pStyle w:val="TableContents"/>
        <w:widowControl w:val="0"/>
        <w:numPr>
          <w:ilvl w:val="1"/>
          <w:numId w:val="5"/>
        </w:numPr>
        <w:tabs>
          <w:tab w:val="clear" w:pos="0"/>
        </w:tabs>
        <w:ind w:left="1418" w:hanging="425"/>
        <w:jc w:val="left"/>
        <w:rPr>
          <w:sz w:val="20"/>
          <w:szCs w:val="20"/>
        </w:rPr>
      </w:pPr>
      <w:r w:rsidRPr="00D0189C">
        <w:rPr>
          <w:sz w:val="20"/>
          <w:szCs w:val="20"/>
        </w:rPr>
        <w:t>Liaising with Global Issues Working Group regarding IDC’s activities.</w:t>
      </w:r>
    </w:p>
    <w:p w14:paraId="06CD1B9D" w14:textId="77777777" w:rsidR="006D5963" w:rsidRPr="00D0189C" w:rsidRDefault="006D5963" w:rsidP="006D5963">
      <w:pPr>
        <w:pStyle w:val="TableContents"/>
        <w:widowControl w:val="0"/>
        <w:numPr>
          <w:ilvl w:val="0"/>
          <w:numId w:val="4"/>
        </w:numPr>
        <w:tabs>
          <w:tab w:val="clear" w:pos="0"/>
          <w:tab w:val="num" w:pos="707"/>
        </w:tabs>
        <w:ind w:left="707" w:hanging="283"/>
        <w:jc w:val="left"/>
        <w:rPr>
          <w:sz w:val="20"/>
          <w:szCs w:val="20"/>
        </w:rPr>
      </w:pPr>
      <w:r w:rsidRPr="00D0189C">
        <w:rPr>
          <w:sz w:val="20"/>
          <w:szCs w:val="20"/>
        </w:rPr>
        <w:t>Will manage its international funding activities in a manner consistent with its Code of Conduct.</w:t>
      </w:r>
    </w:p>
    <w:p w14:paraId="06CD1B9E" w14:textId="77777777" w:rsidR="006D5963" w:rsidRPr="00D0189C" w:rsidRDefault="006D5963" w:rsidP="006D5963">
      <w:pPr>
        <w:ind w:left="426"/>
        <w:rPr>
          <w:rFonts w:ascii="Arial" w:hAnsi="Arial" w:cs="Arial"/>
          <w:sz w:val="20"/>
          <w:szCs w:val="20"/>
        </w:rPr>
      </w:pPr>
    </w:p>
    <w:p w14:paraId="06CD1B9F" w14:textId="77777777" w:rsidR="006D5963" w:rsidRPr="00D0189C" w:rsidRDefault="006D5963" w:rsidP="006D5963">
      <w:pPr>
        <w:pStyle w:val="Heading2"/>
        <w:keepNext w:val="0"/>
        <w:spacing w:before="120" w:after="80" w:line="100" w:lineRule="atLeast"/>
        <w:ind w:left="360"/>
      </w:pPr>
      <w:r w:rsidRPr="00D0189C">
        <w:t>Membership</w:t>
      </w:r>
    </w:p>
    <w:p w14:paraId="06CD1BA0" w14:textId="77777777" w:rsidR="006D5963" w:rsidRPr="00D0189C" w:rsidRDefault="006D5963" w:rsidP="006D5963">
      <w:pPr>
        <w:pStyle w:val="TableContents"/>
        <w:ind w:left="424"/>
        <w:rPr>
          <w:sz w:val="20"/>
          <w:szCs w:val="20"/>
        </w:rPr>
      </w:pPr>
      <w:r w:rsidRPr="00D0189C">
        <w:rPr>
          <w:sz w:val="20"/>
          <w:szCs w:val="20"/>
        </w:rPr>
        <w:t>The Committee will consist of the following members:</w:t>
      </w:r>
    </w:p>
    <w:p w14:paraId="06CD1BA1" w14:textId="77777777" w:rsidR="006D5963" w:rsidRPr="00D0189C" w:rsidRDefault="006D5963" w:rsidP="00D0189C">
      <w:pPr>
        <w:pStyle w:val="TableContents"/>
        <w:widowControl w:val="0"/>
        <w:numPr>
          <w:ilvl w:val="0"/>
          <w:numId w:val="32"/>
        </w:numPr>
        <w:jc w:val="left"/>
        <w:rPr>
          <w:sz w:val="20"/>
          <w:szCs w:val="20"/>
        </w:rPr>
      </w:pPr>
      <w:r w:rsidRPr="00D0189C">
        <w:rPr>
          <w:sz w:val="20"/>
          <w:szCs w:val="20"/>
        </w:rPr>
        <w:t>The Australian Greens National Manager;</w:t>
      </w:r>
    </w:p>
    <w:p w14:paraId="06CD1BA2" w14:textId="77777777" w:rsidR="006D5963" w:rsidRPr="00D0189C" w:rsidRDefault="006D5963" w:rsidP="00D0189C">
      <w:pPr>
        <w:pStyle w:val="TableContents"/>
        <w:widowControl w:val="0"/>
        <w:numPr>
          <w:ilvl w:val="0"/>
          <w:numId w:val="32"/>
        </w:numPr>
        <w:jc w:val="left"/>
        <w:rPr>
          <w:sz w:val="20"/>
          <w:szCs w:val="20"/>
        </w:rPr>
      </w:pPr>
      <w:r w:rsidRPr="00D0189C">
        <w:rPr>
          <w:sz w:val="20"/>
          <w:szCs w:val="20"/>
        </w:rPr>
        <w:t>A representative of the Australian Greens Office Bearers Group;</w:t>
      </w:r>
    </w:p>
    <w:p w14:paraId="06CD1BA3" w14:textId="77777777" w:rsidR="006D5963" w:rsidRPr="00D0189C" w:rsidRDefault="006D5963" w:rsidP="00D0189C">
      <w:pPr>
        <w:pStyle w:val="TableContents"/>
        <w:widowControl w:val="0"/>
        <w:numPr>
          <w:ilvl w:val="0"/>
          <w:numId w:val="32"/>
        </w:numPr>
        <w:jc w:val="left"/>
        <w:rPr>
          <w:sz w:val="20"/>
          <w:szCs w:val="20"/>
        </w:rPr>
      </w:pPr>
      <w:r w:rsidRPr="00D0189C">
        <w:rPr>
          <w:sz w:val="20"/>
          <w:szCs w:val="20"/>
        </w:rPr>
        <w:t>A representative from the Australian Greens Party Room;</w:t>
      </w:r>
    </w:p>
    <w:p w14:paraId="06CD1BA4" w14:textId="77777777" w:rsidR="006D5963" w:rsidRPr="00D0189C" w:rsidRDefault="006D5963" w:rsidP="00D0189C">
      <w:pPr>
        <w:pStyle w:val="TableContents"/>
        <w:widowControl w:val="0"/>
        <w:numPr>
          <w:ilvl w:val="0"/>
          <w:numId w:val="32"/>
        </w:numPr>
        <w:jc w:val="left"/>
        <w:rPr>
          <w:sz w:val="20"/>
          <w:szCs w:val="20"/>
        </w:rPr>
      </w:pPr>
      <w:r w:rsidRPr="00D0189C">
        <w:rPr>
          <w:sz w:val="20"/>
          <w:szCs w:val="20"/>
        </w:rPr>
        <w:t>The Australian Greens International Secretary;</w:t>
      </w:r>
    </w:p>
    <w:p w14:paraId="06CD1BA5" w14:textId="77777777" w:rsidR="006D5963" w:rsidRPr="00D0189C" w:rsidRDefault="006D5963" w:rsidP="00D0189C">
      <w:pPr>
        <w:pStyle w:val="TableContents"/>
        <w:widowControl w:val="0"/>
        <w:numPr>
          <w:ilvl w:val="0"/>
          <w:numId w:val="32"/>
        </w:numPr>
        <w:jc w:val="left"/>
        <w:rPr>
          <w:sz w:val="20"/>
          <w:szCs w:val="20"/>
        </w:rPr>
      </w:pPr>
      <w:r w:rsidRPr="00D0189C">
        <w:rPr>
          <w:sz w:val="20"/>
          <w:szCs w:val="20"/>
        </w:rPr>
        <w:t>A member of the Global Issues Group – Working Group (GIG-WG), preferably with experience in international development, to be selected by GIG-WG;</w:t>
      </w:r>
    </w:p>
    <w:p w14:paraId="06CD1BA6" w14:textId="77777777" w:rsidR="006D5963" w:rsidRPr="00D0189C" w:rsidRDefault="006D5963" w:rsidP="00D0189C">
      <w:pPr>
        <w:pStyle w:val="TableContents"/>
        <w:widowControl w:val="0"/>
        <w:numPr>
          <w:ilvl w:val="0"/>
          <w:numId w:val="32"/>
        </w:numPr>
        <w:jc w:val="left"/>
        <w:rPr>
          <w:sz w:val="20"/>
          <w:szCs w:val="20"/>
        </w:rPr>
      </w:pPr>
      <w:r w:rsidRPr="00D0189C">
        <w:rPr>
          <w:sz w:val="20"/>
          <w:szCs w:val="20"/>
        </w:rPr>
        <w:t>At least three persons with experience in international development, to be selected through the following process:</w:t>
      </w:r>
      <w:r w:rsidRPr="00D0189C" w:rsidDel="00343019">
        <w:rPr>
          <w:sz w:val="20"/>
          <w:szCs w:val="20"/>
        </w:rPr>
        <w:t xml:space="preserve"> </w:t>
      </w:r>
    </w:p>
    <w:p w14:paraId="06CD1BA7" w14:textId="6B2DB4C0" w:rsidR="006D5963" w:rsidRPr="00D0189C" w:rsidRDefault="006D5963" w:rsidP="00D0189C">
      <w:pPr>
        <w:pStyle w:val="TableContents"/>
        <w:widowControl w:val="0"/>
        <w:numPr>
          <w:ilvl w:val="1"/>
          <w:numId w:val="32"/>
        </w:numPr>
        <w:jc w:val="left"/>
        <w:rPr>
          <w:sz w:val="20"/>
          <w:szCs w:val="20"/>
        </w:rPr>
      </w:pPr>
      <w:r w:rsidRPr="00D0189C">
        <w:rPr>
          <w:sz w:val="20"/>
          <w:szCs w:val="20"/>
        </w:rPr>
        <w:t xml:space="preserve">Advertising to the membership in </w:t>
      </w:r>
      <w:r w:rsidR="00A50860">
        <w:rPr>
          <w:sz w:val="20"/>
          <w:szCs w:val="20"/>
        </w:rPr>
        <w:t>May</w:t>
      </w:r>
      <w:r w:rsidRPr="00D0189C">
        <w:rPr>
          <w:sz w:val="20"/>
          <w:szCs w:val="20"/>
        </w:rPr>
        <w:t xml:space="preserve"> each year calling for </w:t>
      </w:r>
      <w:proofErr w:type="gramStart"/>
      <w:r w:rsidRPr="00D0189C">
        <w:rPr>
          <w:sz w:val="20"/>
          <w:szCs w:val="20"/>
        </w:rPr>
        <w:t>applications;</w:t>
      </w:r>
      <w:proofErr w:type="gramEnd"/>
    </w:p>
    <w:p w14:paraId="06CD1BA8" w14:textId="77777777" w:rsidR="006D5963" w:rsidRPr="00D0189C" w:rsidRDefault="006D5963" w:rsidP="00D0189C">
      <w:pPr>
        <w:pStyle w:val="TableContents"/>
        <w:widowControl w:val="0"/>
        <w:numPr>
          <w:ilvl w:val="1"/>
          <w:numId w:val="32"/>
        </w:numPr>
        <w:jc w:val="left"/>
        <w:rPr>
          <w:sz w:val="20"/>
          <w:szCs w:val="20"/>
        </w:rPr>
      </w:pPr>
      <w:r w:rsidRPr="00D0189C">
        <w:rPr>
          <w:sz w:val="20"/>
          <w:szCs w:val="20"/>
        </w:rPr>
        <w:t>Applications are assessed by a selection panel of IDC not including those currently holding these positions;</w:t>
      </w:r>
    </w:p>
    <w:p w14:paraId="06CD1BA9" w14:textId="77777777" w:rsidR="006D5963" w:rsidRPr="00D0189C" w:rsidRDefault="006D5963" w:rsidP="00D0189C">
      <w:pPr>
        <w:pStyle w:val="TableContents"/>
        <w:widowControl w:val="0"/>
        <w:numPr>
          <w:ilvl w:val="1"/>
          <w:numId w:val="32"/>
        </w:numPr>
        <w:jc w:val="left"/>
        <w:rPr>
          <w:sz w:val="20"/>
          <w:szCs w:val="20"/>
        </w:rPr>
      </w:pPr>
      <w:r w:rsidRPr="00D0189C">
        <w:rPr>
          <w:sz w:val="20"/>
          <w:szCs w:val="20"/>
        </w:rPr>
        <w:t>The selection panel makes a recommendation on appointments to the Office Bearers Group for its decision;</w:t>
      </w:r>
    </w:p>
    <w:p w14:paraId="06CD1BAA" w14:textId="77777777" w:rsidR="006D5963" w:rsidRPr="00D0189C" w:rsidRDefault="006D5963" w:rsidP="00D0189C">
      <w:pPr>
        <w:pStyle w:val="TableContents"/>
        <w:widowControl w:val="0"/>
        <w:numPr>
          <w:ilvl w:val="1"/>
          <w:numId w:val="32"/>
        </w:numPr>
        <w:jc w:val="left"/>
        <w:rPr>
          <w:sz w:val="20"/>
          <w:szCs w:val="20"/>
        </w:rPr>
      </w:pPr>
      <w:r w:rsidRPr="00D0189C">
        <w:rPr>
          <w:sz w:val="20"/>
          <w:szCs w:val="20"/>
        </w:rPr>
        <w:lastRenderedPageBreak/>
        <w:t xml:space="preserve">The applicants agreed by </w:t>
      </w:r>
      <w:r w:rsidR="00061D51" w:rsidRPr="00D0189C">
        <w:rPr>
          <w:sz w:val="20"/>
          <w:szCs w:val="20"/>
        </w:rPr>
        <w:t xml:space="preserve">the Office Bearers Group </w:t>
      </w:r>
      <w:r w:rsidRPr="00D0189C">
        <w:rPr>
          <w:sz w:val="20"/>
          <w:szCs w:val="20"/>
        </w:rPr>
        <w:t>to be appointed will take up their role following the next meeting of National Council/Conference.</w:t>
      </w:r>
    </w:p>
    <w:p w14:paraId="06CD1BAB" w14:textId="77777777" w:rsidR="006D5963" w:rsidRPr="00D0189C" w:rsidRDefault="006D5963" w:rsidP="00D0189C">
      <w:pPr>
        <w:pStyle w:val="TableContents"/>
        <w:widowControl w:val="0"/>
        <w:numPr>
          <w:ilvl w:val="0"/>
          <w:numId w:val="32"/>
        </w:numPr>
        <w:jc w:val="left"/>
        <w:rPr>
          <w:sz w:val="20"/>
          <w:szCs w:val="20"/>
        </w:rPr>
      </w:pPr>
      <w:r w:rsidRPr="00D0189C">
        <w:rPr>
          <w:sz w:val="20"/>
          <w:szCs w:val="20"/>
        </w:rPr>
        <w:t>A non-voting Project Officer funded by APPDP and employed by the Australian Greens for the purpose of undertaking associated work of the program.</w:t>
      </w:r>
    </w:p>
    <w:p w14:paraId="06CD1BAD" w14:textId="457E5ED4" w:rsidR="006D5963" w:rsidRDefault="006D5963" w:rsidP="000B76CF">
      <w:pPr>
        <w:pStyle w:val="TableContents"/>
        <w:widowControl w:val="0"/>
        <w:numPr>
          <w:ilvl w:val="0"/>
          <w:numId w:val="32"/>
        </w:numPr>
        <w:jc w:val="left"/>
        <w:rPr>
          <w:sz w:val="20"/>
          <w:szCs w:val="20"/>
        </w:rPr>
      </w:pPr>
      <w:r w:rsidRPr="00D0189C">
        <w:rPr>
          <w:sz w:val="20"/>
          <w:szCs w:val="20"/>
        </w:rPr>
        <w:t xml:space="preserve">If a member who is selected under point 6 above fails to attend three consecutive IDC meetings without leave, their position as a member of IDC immediately becomes vacant and IDC may request </w:t>
      </w:r>
      <w:r w:rsidR="009C3768">
        <w:rPr>
          <w:sz w:val="20"/>
          <w:szCs w:val="20"/>
        </w:rPr>
        <w:t>the Office Bearers Group</w:t>
      </w:r>
      <w:r w:rsidRPr="00D0189C">
        <w:rPr>
          <w:sz w:val="20"/>
          <w:szCs w:val="20"/>
        </w:rPr>
        <w:t xml:space="preserve"> approve an interim appointment to fill the vacancy until the next annual selection process is undertaken.</w:t>
      </w:r>
    </w:p>
    <w:p w14:paraId="1C08CAC7" w14:textId="56AE665C" w:rsidR="009C3768" w:rsidRPr="009C3768" w:rsidRDefault="009C3768" w:rsidP="007B0579">
      <w:pPr>
        <w:pStyle w:val="TableContents"/>
        <w:widowControl w:val="0"/>
        <w:numPr>
          <w:ilvl w:val="0"/>
          <w:numId w:val="32"/>
        </w:numPr>
        <w:jc w:val="left"/>
        <w:rPr>
          <w:sz w:val="20"/>
          <w:szCs w:val="20"/>
        </w:rPr>
      </w:pPr>
      <w:r w:rsidRPr="009C3768">
        <w:rPr>
          <w:sz w:val="20"/>
          <w:szCs w:val="20"/>
        </w:rPr>
        <w:t>If there is a casual vacancy created by a member leaving the Committee then IDC may request the Office Bearers Group approve an interim appointment to fill the vacancy until the next annual selection process</w:t>
      </w:r>
      <w:r>
        <w:rPr>
          <w:sz w:val="20"/>
          <w:szCs w:val="20"/>
        </w:rPr>
        <w:t xml:space="preserve"> </w:t>
      </w:r>
      <w:r w:rsidRPr="009C3768">
        <w:rPr>
          <w:sz w:val="20"/>
          <w:szCs w:val="20"/>
        </w:rPr>
        <w:t>is undertaken</w:t>
      </w:r>
      <w:r w:rsidR="00531AB2">
        <w:rPr>
          <w:sz w:val="20"/>
          <w:szCs w:val="20"/>
        </w:rPr>
        <w:t>.</w:t>
      </w:r>
    </w:p>
    <w:p w14:paraId="06CD1BAE" w14:textId="77777777" w:rsidR="006D5963" w:rsidRPr="00D0189C" w:rsidRDefault="006D5963" w:rsidP="006D5963">
      <w:pPr>
        <w:pStyle w:val="TableContents"/>
        <w:ind w:left="707"/>
        <w:rPr>
          <w:sz w:val="20"/>
          <w:szCs w:val="20"/>
        </w:rPr>
      </w:pPr>
    </w:p>
    <w:p w14:paraId="06CD1BAF" w14:textId="77777777" w:rsidR="006D5963" w:rsidRPr="00D0189C" w:rsidRDefault="006D5963" w:rsidP="006D5963">
      <w:pPr>
        <w:pStyle w:val="Heading2"/>
        <w:keepNext w:val="0"/>
        <w:spacing w:before="120" w:after="80" w:line="100" w:lineRule="atLeast"/>
        <w:ind w:left="360"/>
      </w:pPr>
      <w:r w:rsidRPr="00D0189C">
        <w:t>Procedures for communication and decision making</w:t>
      </w:r>
    </w:p>
    <w:p w14:paraId="06CD1BB0" w14:textId="77777777" w:rsidR="006D5963" w:rsidRPr="00D0189C" w:rsidRDefault="006D5963" w:rsidP="00D0189C">
      <w:pPr>
        <w:pStyle w:val="TableContents"/>
        <w:widowControl w:val="0"/>
        <w:ind w:left="424"/>
        <w:jc w:val="left"/>
        <w:rPr>
          <w:sz w:val="20"/>
          <w:szCs w:val="20"/>
        </w:rPr>
      </w:pPr>
      <w:r w:rsidRPr="00D0189C">
        <w:rPr>
          <w:sz w:val="20"/>
          <w:szCs w:val="20"/>
        </w:rPr>
        <w:t>The committee will make decisions at face-to-face meetings, at teleconferences, or by other electronic means. It should hold at least one face-to-face meeting each year for strategic planning purposes.</w:t>
      </w:r>
    </w:p>
    <w:p w14:paraId="06CD1BB1" w14:textId="77777777" w:rsidR="00D0189C" w:rsidRDefault="00D0189C" w:rsidP="00D0189C">
      <w:pPr>
        <w:pStyle w:val="TableContents"/>
        <w:widowControl w:val="0"/>
        <w:ind w:left="424"/>
        <w:jc w:val="left"/>
        <w:rPr>
          <w:sz w:val="20"/>
          <w:szCs w:val="20"/>
        </w:rPr>
      </w:pPr>
    </w:p>
    <w:p w14:paraId="06CD1BB2" w14:textId="77777777" w:rsidR="006D5963" w:rsidRPr="00D0189C" w:rsidRDefault="006D5963" w:rsidP="00D0189C">
      <w:pPr>
        <w:pStyle w:val="TableContents"/>
        <w:widowControl w:val="0"/>
        <w:ind w:left="424"/>
        <w:jc w:val="left"/>
        <w:rPr>
          <w:sz w:val="20"/>
          <w:szCs w:val="20"/>
        </w:rPr>
      </w:pPr>
      <w:r w:rsidRPr="00D0189C">
        <w:rPr>
          <w:sz w:val="20"/>
          <w:szCs w:val="20"/>
        </w:rPr>
        <w:t>Decisions will be made by consensus wherever possible;</w:t>
      </w:r>
    </w:p>
    <w:p w14:paraId="06CD1BB3" w14:textId="77777777" w:rsidR="00D0189C" w:rsidRDefault="00D0189C" w:rsidP="00D0189C">
      <w:pPr>
        <w:pStyle w:val="TableContents"/>
        <w:widowControl w:val="0"/>
        <w:ind w:left="424"/>
        <w:jc w:val="left"/>
        <w:rPr>
          <w:sz w:val="20"/>
          <w:szCs w:val="20"/>
        </w:rPr>
      </w:pPr>
    </w:p>
    <w:p w14:paraId="06CD1BB4" w14:textId="77777777" w:rsidR="006D5963" w:rsidRPr="00D0189C" w:rsidRDefault="006D5963" w:rsidP="00D0189C">
      <w:pPr>
        <w:pStyle w:val="TableContents"/>
        <w:widowControl w:val="0"/>
        <w:ind w:left="424"/>
        <w:jc w:val="left"/>
        <w:rPr>
          <w:sz w:val="20"/>
          <w:szCs w:val="20"/>
        </w:rPr>
      </w:pPr>
      <w:r w:rsidRPr="00D0189C">
        <w:rPr>
          <w:sz w:val="20"/>
          <w:szCs w:val="20"/>
        </w:rPr>
        <w:t xml:space="preserve">A quorum of the Committee is 2/3 of voting members rounded up, </w:t>
      </w:r>
      <w:proofErr w:type="spellStart"/>
      <w:r w:rsidRPr="00D0189C">
        <w:rPr>
          <w:sz w:val="20"/>
          <w:szCs w:val="20"/>
        </w:rPr>
        <w:t>ie</w:t>
      </w:r>
      <w:proofErr w:type="spellEnd"/>
      <w:r w:rsidRPr="00D0189C">
        <w:rPr>
          <w:sz w:val="20"/>
          <w:szCs w:val="20"/>
        </w:rPr>
        <w:t xml:space="preserve"> 6 of 8 members;</w:t>
      </w:r>
    </w:p>
    <w:p w14:paraId="06CD1BB5" w14:textId="77777777" w:rsidR="00D0189C" w:rsidRDefault="00D0189C" w:rsidP="00D0189C">
      <w:pPr>
        <w:pStyle w:val="TableContents"/>
        <w:widowControl w:val="0"/>
        <w:ind w:left="424"/>
        <w:jc w:val="left"/>
        <w:rPr>
          <w:sz w:val="20"/>
          <w:szCs w:val="20"/>
        </w:rPr>
      </w:pPr>
    </w:p>
    <w:p w14:paraId="06CD1BB6" w14:textId="77777777" w:rsidR="006D5963" w:rsidRPr="00D0189C" w:rsidRDefault="006D5963" w:rsidP="00D0189C">
      <w:pPr>
        <w:pStyle w:val="TableContents"/>
        <w:widowControl w:val="0"/>
        <w:ind w:left="424"/>
        <w:jc w:val="left"/>
        <w:rPr>
          <w:sz w:val="20"/>
          <w:szCs w:val="20"/>
        </w:rPr>
      </w:pPr>
      <w:r w:rsidRPr="00D0189C">
        <w:rPr>
          <w:sz w:val="20"/>
          <w:szCs w:val="20"/>
        </w:rPr>
        <w:t>Meetings will be held in accordance with Australian Greens meeting procedures.</w:t>
      </w:r>
    </w:p>
    <w:p w14:paraId="06CD1BB7" w14:textId="77777777" w:rsidR="00996998" w:rsidRPr="00C924C7" w:rsidRDefault="00996998" w:rsidP="00384023">
      <w:pPr>
        <w:jc w:val="both"/>
        <w:rPr>
          <w:rFonts w:ascii="Roboto" w:hAnsi="Roboto" w:cs="Calibri"/>
          <w:sz w:val="22"/>
          <w:szCs w:val="22"/>
        </w:rPr>
      </w:pPr>
    </w:p>
    <w:sectPr w:rsidR="00996998" w:rsidRPr="00C924C7" w:rsidSect="00F64890">
      <w:footerReference w:type="default" r:id="rId8"/>
      <w:pgSz w:w="11906" w:h="16838"/>
      <w:pgMar w:top="817" w:right="990" w:bottom="426" w:left="1134" w:header="426" w:footer="1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D1BBA" w14:textId="77777777" w:rsidR="000C7D08" w:rsidRDefault="000C7D08">
      <w:r>
        <w:separator/>
      </w:r>
    </w:p>
  </w:endnote>
  <w:endnote w:type="continuationSeparator" w:id="0">
    <w:p w14:paraId="06CD1BBB" w14:textId="77777777" w:rsidR="000C7D08" w:rsidRDefault="000C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font>
  <w:font w:name="Courier">
    <w:panose1 w:val="02070409020205020404"/>
    <w:charset w:val="00"/>
    <w:family w:val="modern"/>
    <w:notTrueType/>
    <w:pitch w:val="fixed"/>
    <w:sig w:usb0="00000003" w:usb1="00000000" w:usb2="00000000" w:usb3="00000000" w:csb0="00000001" w:csb1="00000000"/>
  </w:font>
  <w:font w:name="Luxi Sans">
    <w:charset w:val="00"/>
    <w:family w:val="swiss"/>
    <w:pitch w:val="variable"/>
  </w:font>
  <w:font w:name="HG Mincho Light J">
    <w:altName w:val="ms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1BBC" w14:textId="77777777" w:rsidR="007A422D" w:rsidRDefault="007A42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D1BB8" w14:textId="77777777" w:rsidR="000C7D08" w:rsidRDefault="000C7D08">
      <w:r>
        <w:separator/>
      </w:r>
    </w:p>
  </w:footnote>
  <w:footnote w:type="continuationSeparator" w:id="0">
    <w:p w14:paraId="06CD1BB9" w14:textId="77777777" w:rsidR="000C7D08" w:rsidRDefault="000C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70" w:hanging="360"/>
      </w:pPr>
      <w:rPr>
        <w:rFonts w:ascii="Symbol" w:hAnsi="Symbol" w:cs="Symbol"/>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21"/>
    <w:lvl w:ilvl="0">
      <w:start w:val="1"/>
      <w:numFmt w:val="bullet"/>
      <w:lvlText w:val=""/>
      <w:lvlJc w:val="left"/>
      <w:pPr>
        <w:tabs>
          <w:tab w:val="num" w:pos="0"/>
        </w:tabs>
        <w:ind w:left="360" w:hanging="360"/>
      </w:pPr>
      <w:rPr>
        <w:rFonts w:ascii="Wingdings" w:hAnsi="Wingdings" w:cs="Wingdings"/>
      </w:rPr>
    </w:lvl>
    <w:lvl w:ilvl="1">
      <w:start w:val="1"/>
      <w:numFmt w:val="bullet"/>
      <w:lvlText w:val=""/>
      <w:lvlJc w:val="left"/>
      <w:pPr>
        <w:tabs>
          <w:tab w:val="num" w:pos="0"/>
        </w:tabs>
        <w:ind w:left="720" w:hanging="360"/>
      </w:pPr>
      <w:rPr>
        <w:rFonts w:ascii="Symbol" w:hAnsi="Symbol" w:cs="Symbol"/>
      </w:rPr>
    </w:lvl>
    <w:lvl w:ilvl="2">
      <w:start w:val="1"/>
      <w:numFmt w:val="bullet"/>
      <w:lvlText w:val=""/>
      <w:lvlJc w:val="left"/>
      <w:pPr>
        <w:tabs>
          <w:tab w:val="num" w:pos="0"/>
        </w:tabs>
        <w:ind w:left="1080" w:hanging="360"/>
      </w:pPr>
      <w:rPr>
        <w:rFonts w:ascii="Wingdings" w:hAnsi="Wingdings" w:cs="Wingdings"/>
      </w:rPr>
    </w:lvl>
    <w:lvl w:ilvl="3">
      <w:start w:val="1"/>
      <w:numFmt w:val="bullet"/>
      <w:lvlText w:val=""/>
      <w:lvlJc w:val="left"/>
      <w:pPr>
        <w:tabs>
          <w:tab w:val="num" w:pos="0"/>
        </w:tabs>
        <w:ind w:left="1440" w:hanging="360"/>
      </w:pPr>
      <w:rPr>
        <w:rFonts w:ascii="Symbol" w:hAnsi="Symbol" w:cs="Symbol"/>
      </w:rPr>
    </w:lvl>
    <w:lvl w:ilvl="4">
      <w:start w:val="1"/>
      <w:numFmt w:val="bullet"/>
      <w:lvlText w:val="o"/>
      <w:lvlJc w:val="left"/>
      <w:pPr>
        <w:tabs>
          <w:tab w:val="num" w:pos="0"/>
        </w:tabs>
        <w:ind w:left="1800" w:hanging="360"/>
      </w:pPr>
      <w:rPr>
        <w:rFonts w:ascii="Courier New" w:hAnsi="Courier New" w:cs="Courier New"/>
      </w:rPr>
    </w:lvl>
    <w:lvl w:ilvl="5">
      <w:start w:val="1"/>
      <w:numFmt w:val="bullet"/>
      <w:lvlText w:val=""/>
      <w:lvlJc w:val="left"/>
      <w:pPr>
        <w:tabs>
          <w:tab w:val="num" w:pos="0"/>
        </w:tabs>
        <w:ind w:left="2160" w:hanging="360"/>
      </w:pPr>
      <w:rPr>
        <w:rFonts w:ascii="Wingdings" w:hAnsi="Wingdings" w:cs="Wingdings"/>
      </w:rPr>
    </w:lvl>
    <w:lvl w:ilvl="6">
      <w:start w:val="1"/>
      <w:numFmt w:val="bullet"/>
      <w:lvlText w:val=""/>
      <w:lvlJc w:val="left"/>
      <w:pPr>
        <w:tabs>
          <w:tab w:val="num" w:pos="0"/>
        </w:tabs>
        <w:ind w:left="2520" w:hanging="360"/>
      </w:pPr>
      <w:rPr>
        <w:rFonts w:ascii="Wingdings" w:hAnsi="Wingdings" w:cs="Wingdings"/>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4" w15:restartNumberingAfterBreak="0">
    <w:nsid w:val="00000005"/>
    <w:multiLevelType w:val="singleLevel"/>
    <w:tmpl w:val="00000005"/>
    <w:name w:val="WW8Num23"/>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6"/>
    <w:multiLevelType w:val="singleLevel"/>
    <w:tmpl w:val="00000006"/>
    <w:name w:val="WW8Num32"/>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8B066BC"/>
    <w:multiLevelType w:val="hybridMultilevel"/>
    <w:tmpl w:val="41081F88"/>
    <w:lvl w:ilvl="0" w:tplc="E520A93E">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E93053"/>
    <w:multiLevelType w:val="multilevel"/>
    <w:tmpl w:val="229A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C6CCB"/>
    <w:multiLevelType w:val="hybridMultilevel"/>
    <w:tmpl w:val="FC944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D6E32"/>
    <w:multiLevelType w:val="hybridMultilevel"/>
    <w:tmpl w:val="E12C01A0"/>
    <w:lvl w:ilvl="0" w:tplc="C1209EBC">
      <w:numFmt w:val="bullet"/>
      <w:lvlText w:val="-"/>
      <w:lvlJc w:val="left"/>
      <w:pPr>
        <w:ind w:left="360" w:hanging="360"/>
      </w:pPr>
      <w:rPr>
        <w:rFonts w:ascii="Times New Roman" w:eastAsia="Calibri" w:hAnsi="Times New Roman" w:cs="Times New Roman"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E41F68"/>
    <w:multiLevelType w:val="hybridMultilevel"/>
    <w:tmpl w:val="6624FFD2"/>
    <w:lvl w:ilvl="0" w:tplc="068C6C42">
      <w:start w:val="4"/>
      <w:numFmt w:val="bullet"/>
      <w:lvlText w:val="-"/>
      <w:lvlJc w:val="left"/>
      <w:pPr>
        <w:ind w:left="360" w:hanging="360"/>
      </w:pPr>
      <w:rPr>
        <w:rFonts w:ascii="Calibri" w:eastAsia="Calibri" w:hAnsi="Calibri" w:cs="Calibri" w:hint="default"/>
      </w:rPr>
    </w:lvl>
    <w:lvl w:ilvl="1" w:tplc="A5A8C1C4">
      <w:numFmt w:val="bullet"/>
      <w:lvlText w:val="-"/>
      <w:lvlJc w:val="left"/>
      <w:pPr>
        <w:ind w:left="1080" w:hanging="360"/>
      </w:pPr>
      <w:rPr>
        <w:rFonts w:ascii="Times New Roman" w:eastAsia="Calibri" w:hAnsi="Times New Roman" w:cs="Times New Roman" w:hint="default"/>
        <w:b/>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4A556C"/>
    <w:multiLevelType w:val="multilevel"/>
    <w:tmpl w:val="CF5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05507"/>
    <w:multiLevelType w:val="hybridMultilevel"/>
    <w:tmpl w:val="DC88D256"/>
    <w:lvl w:ilvl="0" w:tplc="D1647EB8">
      <w:start w:val="1"/>
      <w:numFmt w:val="decimal"/>
      <w:lvlText w:val="%1."/>
      <w:lvlJc w:val="left"/>
      <w:pPr>
        <w:ind w:left="720" w:hanging="360"/>
      </w:pPr>
      <w:rPr>
        <w:rFonts w:eastAsia="Calibr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3603A3"/>
    <w:multiLevelType w:val="hybridMultilevel"/>
    <w:tmpl w:val="4838E7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B0A3D"/>
    <w:multiLevelType w:val="hybridMultilevel"/>
    <w:tmpl w:val="14A8B87A"/>
    <w:lvl w:ilvl="0" w:tplc="BFE41C96">
      <w:start w:val="1"/>
      <w:numFmt w:val="decimal"/>
      <w:pStyle w:val="NumberedPara"/>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313631C3"/>
    <w:multiLevelType w:val="hybridMultilevel"/>
    <w:tmpl w:val="97B0D22E"/>
    <w:lvl w:ilvl="0" w:tplc="B82AA6FA">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3E33F53"/>
    <w:multiLevelType w:val="hybridMultilevel"/>
    <w:tmpl w:val="42CE231E"/>
    <w:lvl w:ilvl="0" w:tplc="0032BBA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B618AC"/>
    <w:multiLevelType w:val="hybridMultilevel"/>
    <w:tmpl w:val="8D547666"/>
    <w:lvl w:ilvl="0" w:tplc="85823C44">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2C614B"/>
    <w:multiLevelType w:val="hybridMultilevel"/>
    <w:tmpl w:val="852A2FC6"/>
    <w:lvl w:ilvl="0" w:tplc="0032BBA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91EA5"/>
    <w:multiLevelType w:val="hybridMultilevel"/>
    <w:tmpl w:val="D4D45214"/>
    <w:lvl w:ilvl="0" w:tplc="0032BBA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F722B2"/>
    <w:multiLevelType w:val="hybridMultilevel"/>
    <w:tmpl w:val="A296D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2451A3"/>
    <w:multiLevelType w:val="multilevel"/>
    <w:tmpl w:val="A09E39AE"/>
    <w:lvl w:ilvl="0">
      <w:start w:val="1"/>
      <w:numFmt w:val="decimal"/>
      <w:lvlText w:val="%1."/>
      <w:lvlJc w:val="left"/>
      <w:pPr>
        <w:tabs>
          <w:tab w:val="num" w:pos="707"/>
        </w:tabs>
        <w:ind w:left="707" w:hanging="283"/>
      </w:pPr>
      <w:rPr>
        <w:sz w:val="24"/>
        <w:szCs w:val="24"/>
      </w:rPr>
    </w:lvl>
    <w:lvl w:ilvl="1">
      <w:start w:val="1"/>
      <w:numFmt w:val="lowerLetter"/>
      <w:lvlText w:val="%2."/>
      <w:lvlJc w:val="left"/>
      <w:pPr>
        <w:tabs>
          <w:tab w:val="num" w:pos="1414"/>
        </w:tabs>
        <w:ind w:left="1414" w:hanging="283"/>
      </w:pPr>
      <w:rPr>
        <w:sz w:val="18"/>
      </w:rPr>
    </w:lvl>
    <w:lvl w:ilvl="2">
      <w:start w:val="1"/>
      <w:numFmt w:val="bullet"/>
      <w:lvlText w:val=""/>
      <w:lvlJc w:val="left"/>
      <w:pPr>
        <w:tabs>
          <w:tab w:val="num" w:pos="2121"/>
        </w:tabs>
        <w:ind w:left="2121" w:hanging="283"/>
      </w:pPr>
      <w:rPr>
        <w:rFonts w:ascii="Symbol" w:hAnsi="Symbol" w:cs="Symbol"/>
        <w:sz w:val="18"/>
      </w:rPr>
    </w:lvl>
    <w:lvl w:ilvl="3">
      <w:start w:val="1"/>
      <w:numFmt w:val="bullet"/>
      <w:lvlText w:val=""/>
      <w:lvlJc w:val="left"/>
      <w:pPr>
        <w:tabs>
          <w:tab w:val="num" w:pos="2828"/>
        </w:tabs>
        <w:ind w:left="2828" w:hanging="283"/>
      </w:pPr>
      <w:rPr>
        <w:rFonts w:ascii="Symbol" w:hAnsi="Symbol" w:cs="Symbol"/>
        <w:sz w:val="18"/>
      </w:rPr>
    </w:lvl>
    <w:lvl w:ilvl="4">
      <w:start w:val="1"/>
      <w:numFmt w:val="bullet"/>
      <w:lvlText w:val=""/>
      <w:lvlJc w:val="left"/>
      <w:pPr>
        <w:tabs>
          <w:tab w:val="num" w:pos="3535"/>
        </w:tabs>
        <w:ind w:left="3535" w:hanging="283"/>
      </w:pPr>
      <w:rPr>
        <w:rFonts w:ascii="Symbol" w:hAnsi="Symbol" w:cs="Symbol"/>
        <w:sz w:val="18"/>
      </w:rPr>
    </w:lvl>
    <w:lvl w:ilvl="5">
      <w:start w:val="1"/>
      <w:numFmt w:val="bullet"/>
      <w:lvlText w:val=""/>
      <w:lvlJc w:val="left"/>
      <w:pPr>
        <w:tabs>
          <w:tab w:val="num" w:pos="4242"/>
        </w:tabs>
        <w:ind w:left="4242" w:hanging="283"/>
      </w:pPr>
      <w:rPr>
        <w:rFonts w:ascii="Symbol" w:hAnsi="Symbol" w:cs="Symbol"/>
        <w:sz w:val="18"/>
      </w:rPr>
    </w:lvl>
    <w:lvl w:ilvl="6">
      <w:start w:val="1"/>
      <w:numFmt w:val="bullet"/>
      <w:lvlText w:val=""/>
      <w:lvlJc w:val="left"/>
      <w:pPr>
        <w:tabs>
          <w:tab w:val="num" w:pos="4949"/>
        </w:tabs>
        <w:ind w:left="4949" w:hanging="283"/>
      </w:pPr>
      <w:rPr>
        <w:rFonts w:ascii="Symbol" w:hAnsi="Symbol" w:cs="Symbol"/>
        <w:sz w:val="18"/>
      </w:rPr>
    </w:lvl>
    <w:lvl w:ilvl="7">
      <w:start w:val="1"/>
      <w:numFmt w:val="bullet"/>
      <w:lvlText w:val=""/>
      <w:lvlJc w:val="left"/>
      <w:pPr>
        <w:tabs>
          <w:tab w:val="num" w:pos="5656"/>
        </w:tabs>
        <w:ind w:left="5656" w:hanging="283"/>
      </w:pPr>
      <w:rPr>
        <w:rFonts w:ascii="Symbol" w:hAnsi="Symbol" w:cs="Symbol"/>
        <w:sz w:val="18"/>
      </w:rPr>
    </w:lvl>
    <w:lvl w:ilvl="8">
      <w:start w:val="1"/>
      <w:numFmt w:val="bullet"/>
      <w:lvlText w:val=""/>
      <w:lvlJc w:val="left"/>
      <w:pPr>
        <w:tabs>
          <w:tab w:val="num" w:pos="6363"/>
        </w:tabs>
        <w:ind w:left="6363" w:hanging="283"/>
      </w:pPr>
      <w:rPr>
        <w:rFonts w:ascii="Symbol" w:hAnsi="Symbol" w:cs="Symbol"/>
        <w:sz w:val="18"/>
      </w:rPr>
    </w:lvl>
  </w:abstractNum>
  <w:abstractNum w:abstractNumId="22" w15:restartNumberingAfterBreak="0">
    <w:nsid w:val="51FB58B0"/>
    <w:multiLevelType w:val="hybridMultilevel"/>
    <w:tmpl w:val="564C1CD2"/>
    <w:lvl w:ilvl="0" w:tplc="B82AA6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295C89"/>
    <w:multiLevelType w:val="hybridMultilevel"/>
    <w:tmpl w:val="8AD200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EF123F"/>
    <w:multiLevelType w:val="hybridMultilevel"/>
    <w:tmpl w:val="019ADC4E"/>
    <w:lvl w:ilvl="0" w:tplc="472A8FA2">
      <w:numFmt w:val="bullet"/>
      <w:lvlText w:val="-"/>
      <w:lvlJc w:val="left"/>
      <w:pPr>
        <w:ind w:left="720" w:hanging="360"/>
      </w:pPr>
      <w:rPr>
        <w:rFonts w:ascii="Times New Roman" w:eastAsia="Calibri"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893C4C"/>
    <w:multiLevelType w:val="hybridMultilevel"/>
    <w:tmpl w:val="F8EC1D5E"/>
    <w:lvl w:ilvl="0" w:tplc="B82AA6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E2737B"/>
    <w:multiLevelType w:val="hybridMultilevel"/>
    <w:tmpl w:val="EFCE5B28"/>
    <w:lvl w:ilvl="0" w:tplc="A79C7EB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6B6875"/>
    <w:multiLevelType w:val="hybridMultilevel"/>
    <w:tmpl w:val="7EE0B7C0"/>
    <w:lvl w:ilvl="0" w:tplc="068C6C42">
      <w:start w:val="4"/>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5049B8"/>
    <w:multiLevelType w:val="hybridMultilevel"/>
    <w:tmpl w:val="EBB2A0A2"/>
    <w:lvl w:ilvl="0" w:tplc="F3F46C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C74A2F"/>
    <w:multiLevelType w:val="hybridMultilevel"/>
    <w:tmpl w:val="820ED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A9574F"/>
    <w:multiLevelType w:val="hybridMultilevel"/>
    <w:tmpl w:val="DD7A3C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8D562CA"/>
    <w:multiLevelType w:val="hybridMultilevel"/>
    <w:tmpl w:val="5C8E489A"/>
    <w:lvl w:ilvl="0" w:tplc="B82AA6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7"/>
  </w:num>
  <w:num w:numId="9">
    <w:abstractNumId w:val="11"/>
  </w:num>
  <w:num w:numId="10">
    <w:abstractNumId w:val="25"/>
  </w:num>
  <w:num w:numId="11">
    <w:abstractNumId w:val="22"/>
  </w:num>
  <w:num w:numId="12">
    <w:abstractNumId w:val="31"/>
  </w:num>
  <w:num w:numId="13">
    <w:abstractNumId w:val="8"/>
  </w:num>
  <w:num w:numId="14">
    <w:abstractNumId w:val="26"/>
  </w:num>
  <w:num w:numId="15">
    <w:abstractNumId w:val="15"/>
  </w:num>
  <w:num w:numId="16">
    <w:abstractNumId w:val="9"/>
  </w:num>
  <w:num w:numId="17">
    <w:abstractNumId w:val="6"/>
  </w:num>
  <w:num w:numId="18">
    <w:abstractNumId w:val="17"/>
  </w:num>
  <w:num w:numId="19">
    <w:abstractNumId w:val="27"/>
  </w:num>
  <w:num w:numId="20">
    <w:abstractNumId w:val="10"/>
  </w:num>
  <w:num w:numId="21">
    <w:abstractNumId w:val="24"/>
  </w:num>
  <w:num w:numId="22">
    <w:abstractNumId w:val="12"/>
  </w:num>
  <w:num w:numId="23">
    <w:abstractNumId w:val="30"/>
  </w:num>
  <w:num w:numId="24">
    <w:abstractNumId w:val="13"/>
  </w:num>
  <w:num w:numId="25">
    <w:abstractNumId w:val="28"/>
  </w:num>
  <w:num w:numId="26">
    <w:abstractNumId w:val="19"/>
  </w:num>
  <w:num w:numId="27">
    <w:abstractNumId w:val="18"/>
  </w:num>
  <w:num w:numId="28">
    <w:abstractNumId w:val="16"/>
  </w:num>
  <w:num w:numId="29">
    <w:abstractNumId w:val="29"/>
  </w:num>
  <w:num w:numId="30">
    <w:abstractNumId w:val="21"/>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F71"/>
    <w:rsid w:val="00061D51"/>
    <w:rsid w:val="000920EE"/>
    <w:rsid w:val="00092E73"/>
    <w:rsid w:val="00097DE0"/>
    <w:rsid w:val="000B76CF"/>
    <w:rsid w:val="000C7D08"/>
    <w:rsid w:val="000D74B6"/>
    <w:rsid w:val="000F147A"/>
    <w:rsid w:val="001168EC"/>
    <w:rsid w:val="001739B6"/>
    <w:rsid w:val="00193B36"/>
    <w:rsid w:val="00196802"/>
    <w:rsid w:val="001C4C14"/>
    <w:rsid w:val="001E2019"/>
    <w:rsid w:val="001E3CC2"/>
    <w:rsid w:val="00216E6E"/>
    <w:rsid w:val="0022054F"/>
    <w:rsid w:val="00220AD1"/>
    <w:rsid w:val="0024764A"/>
    <w:rsid w:val="002907F9"/>
    <w:rsid w:val="002A3CE6"/>
    <w:rsid w:val="002A71E9"/>
    <w:rsid w:val="00305092"/>
    <w:rsid w:val="0030695A"/>
    <w:rsid w:val="00307C7F"/>
    <w:rsid w:val="00326F4D"/>
    <w:rsid w:val="0033118B"/>
    <w:rsid w:val="00336C35"/>
    <w:rsid w:val="00372198"/>
    <w:rsid w:val="00384023"/>
    <w:rsid w:val="003B69B4"/>
    <w:rsid w:val="003E5C3C"/>
    <w:rsid w:val="003E65CC"/>
    <w:rsid w:val="003F2C12"/>
    <w:rsid w:val="00400C32"/>
    <w:rsid w:val="0040424A"/>
    <w:rsid w:val="004078CD"/>
    <w:rsid w:val="00420857"/>
    <w:rsid w:val="004220B9"/>
    <w:rsid w:val="00442447"/>
    <w:rsid w:val="004834A7"/>
    <w:rsid w:val="004B20CE"/>
    <w:rsid w:val="004B46E2"/>
    <w:rsid w:val="004C1431"/>
    <w:rsid w:val="004C20DA"/>
    <w:rsid w:val="004D19E7"/>
    <w:rsid w:val="004D230E"/>
    <w:rsid w:val="004E53BE"/>
    <w:rsid w:val="00531AB2"/>
    <w:rsid w:val="00554A7B"/>
    <w:rsid w:val="005D2699"/>
    <w:rsid w:val="005E1120"/>
    <w:rsid w:val="005E50B4"/>
    <w:rsid w:val="005F6A7D"/>
    <w:rsid w:val="006136C4"/>
    <w:rsid w:val="0062131B"/>
    <w:rsid w:val="006318F3"/>
    <w:rsid w:val="006342F8"/>
    <w:rsid w:val="006535AD"/>
    <w:rsid w:val="00655346"/>
    <w:rsid w:val="00667DE3"/>
    <w:rsid w:val="0067703F"/>
    <w:rsid w:val="006D5963"/>
    <w:rsid w:val="006E043D"/>
    <w:rsid w:val="006F04B4"/>
    <w:rsid w:val="006F0F71"/>
    <w:rsid w:val="00732EFF"/>
    <w:rsid w:val="0074334B"/>
    <w:rsid w:val="00744183"/>
    <w:rsid w:val="007528EE"/>
    <w:rsid w:val="007A422D"/>
    <w:rsid w:val="007E26B4"/>
    <w:rsid w:val="00806FAD"/>
    <w:rsid w:val="008074A4"/>
    <w:rsid w:val="00835AFB"/>
    <w:rsid w:val="00844180"/>
    <w:rsid w:val="00851196"/>
    <w:rsid w:val="00854105"/>
    <w:rsid w:val="008552CD"/>
    <w:rsid w:val="00865C49"/>
    <w:rsid w:val="00871377"/>
    <w:rsid w:val="008730EF"/>
    <w:rsid w:val="00897FC3"/>
    <w:rsid w:val="00931B9E"/>
    <w:rsid w:val="00937883"/>
    <w:rsid w:val="00947F69"/>
    <w:rsid w:val="00996998"/>
    <w:rsid w:val="009C3768"/>
    <w:rsid w:val="009D5826"/>
    <w:rsid w:val="00A224E3"/>
    <w:rsid w:val="00A3382E"/>
    <w:rsid w:val="00A478CC"/>
    <w:rsid w:val="00A50860"/>
    <w:rsid w:val="00A77B65"/>
    <w:rsid w:val="00A83C48"/>
    <w:rsid w:val="00AB0DEB"/>
    <w:rsid w:val="00AB7941"/>
    <w:rsid w:val="00AF03FD"/>
    <w:rsid w:val="00B2379E"/>
    <w:rsid w:val="00B26083"/>
    <w:rsid w:val="00B72A1F"/>
    <w:rsid w:val="00B74FEA"/>
    <w:rsid w:val="00B765AD"/>
    <w:rsid w:val="00B82846"/>
    <w:rsid w:val="00B91195"/>
    <w:rsid w:val="00BA0B03"/>
    <w:rsid w:val="00BC3C78"/>
    <w:rsid w:val="00BE24EF"/>
    <w:rsid w:val="00C04B75"/>
    <w:rsid w:val="00C34915"/>
    <w:rsid w:val="00C352BD"/>
    <w:rsid w:val="00C777F7"/>
    <w:rsid w:val="00C924C7"/>
    <w:rsid w:val="00CA3500"/>
    <w:rsid w:val="00CA4E54"/>
    <w:rsid w:val="00CB037A"/>
    <w:rsid w:val="00CD0A79"/>
    <w:rsid w:val="00D0189C"/>
    <w:rsid w:val="00D14DA9"/>
    <w:rsid w:val="00D26186"/>
    <w:rsid w:val="00D410EF"/>
    <w:rsid w:val="00D42CCB"/>
    <w:rsid w:val="00D5454E"/>
    <w:rsid w:val="00D6129D"/>
    <w:rsid w:val="00D80CA2"/>
    <w:rsid w:val="00DA6359"/>
    <w:rsid w:val="00DB717F"/>
    <w:rsid w:val="00DB726E"/>
    <w:rsid w:val="00DD71E4"/>
    <w:rsid w:val="00E7431F"/>
    <w:rsid w:val="00E75171"/>
    <w:rsid w:val="00E77671"/>
    <w:rsid w:val="00EB13C6"/>
    <w:rsid w:val="00EB3554"/>
    <w:rsid w:val="00EB56BD"/>
    <w:rsid w:val="00ED69EC"/>
    <w:rsid w:val="00F00AFE"/>
    <w:rsid w:val="00F37C33"/>
    <w:rsid w:val="00F443C1"/>
    <w:rsid w:val="00F4541C"/>
    <w:rsid w:val="00F55060"/>
    <w:rsid w:val="00F63858"/>
    <w:rsid w:val="00F64890"/>
    <w:rsid w:val="00F66A6F"/>
    <w:rsid w:val="00F75F13"/>
    <w:rsid w:val="00F86254"/>
    <w:rsid w:val="00FA5AC6"/>
    <w:rsid w:val="00FB29A4"/>
    <w:rsid w:val="00FD56E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6CD1B7D"/>
  <w15:docId w15:val="{FA1FB96F-B157-47E0-A1EA-4023AE85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16"/>
      <w:szCs w:val="16"/>
      <w:lang w:eastAsia="zh-CN"/>
    </w:rPr>
  </w:style>
  <w:style w:type="paragraph" w:styleId="Heading1">
    <w:name w:val="heading 1"/>
    <w:basedOn w:val="Normal"/>
    <w:next w:val="Normal"/>
    <w:qFormat/>
    <w:pPr>
      <w:keepNext/>
      <w:numPr>
        <w:numId w:val="1"/>
      </w:numPr>
      <w:outlineLvl w:val="0"/>
    </w:pPr>
    <w:rPr>
      <w:b/>
      <w:sz w:val="24"/>
      <w:u w:val="single"/>
    </w:rPr>
  </w:style>
  <w:style w:type="paragraph" w:styleId="Heading2">
    <w:name w:val="heading 2"/>
    <w:basedOn w:val="Normal"/>
    <w:next w:val="Normal"/>
    <w:qFormat/>
    <w:pPr>
      <w:keepNext/>
      <w:keepLines/>
      <w:suppressAutoHyphens w:val="0"/>
      <w:spacing w:before="200" w:line="276" w:lineRule="auto"/>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Wingdings" w:hAnsi="Wingdings" w:cs="Wingdings"/>
    </w:rPr>
  </w:style>
  <w:style w:type="character" w:customStyle="1" w:styleId="WW8Num1z3">
    <w:name w:val="WW8Num1z3"/>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Symbol" w:hAnsi="Symbol" w:cs="Symbol"/>
    </w:rPr>
  </w:style>
  <w:style w:type="character" w:customStyle="1" w:styleId="WW8Num21z4">
    <w:name w:val="WW8Num21z4"/>
    <w:rPr>
      <w:rFonts w:ascii="Courier New" w:hAnsi="Courier New" w:cs="Courier New"/>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7z0">
    <w:name w:val="WW8Num27z0"/>
    <w:rPr>
      <w:rFonts w:ascii="Verdana" w:hAnsi="Verdana" w:cs="Verdana"/>
      <w:b/>
      <w:i w:val="0"/>
      <w:sz w:val="20"/>
      <w:szCs w:val="20"/>
    </w:rPr>
  </w:style>
  <w:style w:type="character" w:customStyle="1" w:styleId="WW8Num28z0">
    <w:name w:val="WW8Num28z0"/>
    <w:rPr>
      <w:rFonts w:ascii="Arial" w:eastAsia="Times New Roman" w:hAnsi="Arial" w:cs="Aria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Courier New"/>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w:eastAsia="Times New Roman" w:hAnsi="Arial" w:cs="Aria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FootnoteCharacters">
    <w:name w:val="Footnote Characters"/>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WW-DefaultParagraphFont1111111">
    <w:name w:val="WW-Default Paragraph Font1111111"/>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EndnoteCharacters">
    <w:name w:val="Endnote Characters"/>
  </w:style>
  <w:style w:type="character" w:customStyle="1" w:styleId="WW8Num1z1">
    <w:name w:val="WW8Num1z1"/>
    <w:rPr>
      <w:rFonts w:ascii="Courier New" w:hAnsi="Courier New" w:cs="Courier New"/>
    </w:rPr>
  </w:style>
  <w:style w:type="character" w:customStyle="1" w:styleId="staff">
    <w:name w:val="staff"/>
    <w:rPr>
      <w:rFonts w:ascii="Arial" w:hAnsi="Arial" w:cs="Arial"/>
      <w:color w:val="auto"/>
      <w:sz w:val="20"/>
      <w:szCs w:val="20"/>
    </w:rPr>
  </w:style>
  <w:style w:type="character" w:styleId="Strong">
    <w:name w:val="Strong"/>
    <w:qFormat/>
    <w:rPr>
      <w:b/>
      <w:bCs/>
    </w:rPr>
  </w:style>
  <w:style w:type="character" w:styleId="CommentReference">
    <w:name w:val="annotation reference"/>
    <w:uiPriority w:val="99"/>
    <w:rPr>
      <w:sz w:val="16"/>
      <w:szCs w:val="16"/>
    </w:rPr>
  </w:style>
  <w:style w:type="character" w:customStyle="1" w:styleId="HTMLPreformattedChar">
    <w:name w:val="HTML Preformatted Char"/>
    <w:rPr>
      <w:rFonts w:ascii="Courier" w:hAnsi="Courier" w:cs="Courier"/>
    </w:rPr>
  </w:style>
  <w:style w:type="character" w:customStyle="1" w:styleId="CommentTextChar">
    <w:name w:val="Comment Text Char"/>
    <w:uiPriority w:val="99"/>
    <w:rPr>
      <w:lang w:val="en-US"/>
    </w:rPr>
  </w:style>
  <w:style w:type="character" w:customStyle="1" w:styleId="CommentSubjectChar">
    <w:name w:val="Comment Subject Char"/>
    <w:rPr>
      <w:b/>
      <w:bCs/>
      <w:lang w:val="en-US"/>
    </w:rPr>
  </w:style>
  <w:style w:type="character" w:customStyle="1" w:styleId="apple-style-span">
    <w:name w:val="apple-style-span"/>
    <w:basedOn w:val="DefaultParagraphFont"/>
  </w:style>
  <w:style w:type="character" w:customStyle="1" w:styleId="moz-txt-citetags">
    <w:name w:val="moz-txt-citetags"/>
  </w:style>
  <w:style w:type="character" w:customStyle="1" w:styleId="Heading2Char">
    <w:name w:val="Heading 2 Char"/>
    <w:rPr>
      <w:rFonts w:ascii="Cambria" w:eastAsia="MS Gothic" w:hAnsi="Cambria" w:cs="Cambria"/>
      <w:b/>
      <w:bCs/>
      <w:color w:val="4F81BD"/>
      <w:sz w:val="26"/>
      <w:szCs w:val="26"/>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Luxi Sans" w:eastAsia="HG Mincho Light J" w:hAnsi="Luxi Sans" w:cs="Arial Unicode MS"/>
      <w:sz w:val="28"/>
      <w:szCs w:val="28"/>
    </w:rPr>
  </w:style>
  <w:style w:type="paragraph" w:styleId="BodyText">
    <w:name w:val="Body Text"/>
    <w:basedOn w:val="Normal"/>
    <w:pPr>
      <w:jc w:val="both"/>
    </w:pPr>
    <w:rPr>
      <w:rFonts w:ascii="Arial" w:hAnsi="Arial" w:cs="Arial"/>
      <w:lang w:val="en-G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BodyText"/>
    <w:pPr>
      <w:suppressLineNumbers/>
    </w:pPr>
  </w:style>
  <w:style w:type="paragraph" w:customStyle="1" w:styleId="Framecontents">
    <w:name w:val="Frame contents"/>
    <w:basedOn w:val="BodyText"/>
  </w:style>
  <w:style w:type="paragraph" w:styleId="EnvelopeReturn">
    <w:name w:val="envelope return"/>
    <w:basedOn w:val="Normal"/>
    <w:rPr>
      <w:rFonts w:ascii="Arial" w:hAnsi="Arial" w:cs="Arial"/>
      <w:sz w:val="18"/>
      <w:lang w:val="en-GB"/>
    </w:rPr>
  </w:style>
  <w:style w:type="paragraph" w:customStyle="1" w:styleId="WW-BlockText">
    <w:name w:val="WW-Block Text"/>
    <w:basedOn w:val="Normal"/>
    <w:pPr>
      <w:ind w:left="7920" w:right="-760" w:firstLine="131"/>
    </w:pPr>
    <w:rPr>
      <w:b/>
      <w:sz w:val="28"/>
    </w:rPr>
  </w:style>
  <w:style w:type="paragraph" w:customStyle="1" w:styleId="Quotations">
    <w:name w:val="Quotations"/>
    <w:basedOn w:val="Normal"/>
    <w:pPr>
      <w:spacing w:after="283"/>
      <w:ind w:left="567" w:right="567"/>
    </w:pPr>
  </w:style>
  <w:style w:type="paragraph" w:styleId="DocumentMap">
    <w:name w:val="Document Map"/>
    <w:basedOn w:val="Normal"/>
    <w:pPr>
      <w:shd w:val="clear" w:color="auto" w:fill="000080"/>
    </w:pPr>
    <w:rPr>
      <w:rFonts w:ascii="Tahoma" w:hAnsi="Tahoma" w:cs="Tahoma"/>
      <w:szCs w:val="20"/>
    </w:rPr>
  </w:style>
  <w:style w:type="paragraph" w:styleId="CommentText">
    <w:name w:val="annotation text"/>
    <w:basedOn w:val="Normal"/>
    <w:uiPriority w:val="99"/>
    <w:pPr>
      <w:suppressAutoHyphens w:val="0"/>
    </w:pPr>
    <w:rPr>
      <w:szCs w:val="20"/>
      <w:lang w:val="en-US"/>
    </w:rPr>
  </w:style>
  <w:style w:type="paragraph" w:styleId="BalloonText">
    <w:name w:val="Balloon Text"/>
    <w:basedOn w:val="Normal"/>
    <w:rPr>
      <w:rFonts w:ascii="Tahoma" w:hAnsi="Tahoma" w:cs="Tahoma"/>
    </w:rPr>
  </w:style>
  <w:style w:type="paragraph" w:styleId="NormalWeb">
    <w:name w:val="Normal (Web)"/>
    <w:basedOn w:val="Normal"/>
    <w:uiPriority w:val="99"/>
    <w:pPr>
      <w:suppressAutoHyphens w:val="0"/>
      <w:spacing w:before="100" w:after="100"/>
    </w:pPr>
    <w:rPr>
      <w:sz w:val="24"/>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szCs w:val="20"/>
      <w:lang w:val="x-none"/>
    </w:rPr>
  </w:style>
  <w:style w:type="paragraph" w:styleId="CommentSubject">
    <w:name w:val="annotation subject"/>
    <w:basedOn w:val="CommentText"/>
    <w:next w:val="CommentText"/>
    <w:pPr>
      <w:suppressAutoHyphens/>
    </w:pPr>
    <w:rPr>
      <w:b/>
      <w:bCs/>
    </w:rPr>
  </w:style>
  <w:style w:type="paragraph" w:customStyle="1" w:styleId="ColorfulList-Accent11">
    <w:name w:val="Colorful List - Accent 11"/>
    <w:basedOn w:val="Normal"/>
    <w:pPr>
      <w:suppressAutoHyphens w:val="0"/>
      <w:spacing w:after="200" w:line="276" w:lineRule="auto"/>
      <w:ind w:left="720"/>
    </w:pPr>
    <w:rPr>
      <w:rFonts w:ascii="Calibri" w:eastAsia="Calibri" w:hAnsi="Calibri" w:cs="Calibri"/>
      <w:sz w:val="22"/>
      <w:szCs w:val="22"/>
    </w:rPr>
  </w:style>
  <w:style w:type="paragraph" w:customStyle="1" w:styleId="WW-Default">
    <w:name w:val="WW-Default"/>
    <w:pPr>
      <w:widowControl w:val="0"/>
      <w:suppressAutoHyphens/>
      <w:autoSpaceDE w:val="0"/>
    </w:pPr>
    <w:rPr>
      <w:rFonts w:ascii="Arial" w:hAnsi="Arial" w:cs="Arial"/>
      <w:color w:val="000000"/>
      <w:sz w:val="24"/>
      <w:szCs w:val="24"/>
      <w:lang w:val="en-US" w:eastAsia="zh-CN"/>
    </w:rPr>
  </w:style>
  <w:style w:type="paragraph" w:styleId="NoSpacing">
    <w:name w:val="No Spacing"/>
    <w:qFormat/>
    <w:pPr>
      <w:suppressAutoHyphens/>
    </w:pPr>
    <w:rPr>
      <w:rFonts w:ascii="Calibri" w:eastAsia="Calibri" w:hAnsi="Calibri" w:cs="Calibri"/>
      <w:sz w:val="22"/>
      <w:szCs w:val="22"/>
      <w:lang w:eastAsia="zh-CN"/>
    </w:rPr>
  </w:style>
  <w:style w:type="paragraph" w:styleId="FootnoteText">
    <w:name w:val="footnote text"/>
    <w:basedOn w:val="Normal"/>
    <w:link w:val="FootnoteTextChar"/>
    <w:uiPriority w:val="99"/>
    <w:semiHidden/>
    <w:unhideWhenUsed/>
    <w:rsid w:val="00F37C33"/>
    <w:rPr>
      <w:sz w:val="20"/>
      <w:szCs w:val="20"/>
    </w:rPr>
  </w:style>
  <w:style w:type="character" w:customStyle="1" w:styleId="FootnoteTextChar">
    <w:name w:val="Footnote Text Char"/>
    <w:link w:val="FootnoteText"/>
    <w:uiPriority w:val="99"/>
    <w:semiHidden/>
    <w:rsid w:val="00F37C33"/>
    <w:rPr>
      <w:lang w:eastAsia="zh-CN"/>
    </w:rPr>
  </w:style>
  <w:style w:type="character" w:styleId="FootnoteReference">
    <w:name w:val="footnote reference"/>
    <w:uiPriority w:val="99"/>
    <w:semiHidden/>
    <w:unhideWhenUsed/>
    <w:rsid w:val="00F37C33"/>
    <w:rPr>
      <w:vertAlign w:val="superscript"/>
    </w:rPr>
  </w:style>
  <w:style w:type="paragraph" w:styleId="ListParagraph">
    <w:name w:val="List Paragraph"/>
    <w:basedOn w:val="Normal"/>
    <w:uiPriority w:val="34"/>
    <w:qFormat/>
    <w:rsid w:val="00EB3554"/>
    <w:pPr>
      <w:suppressAutoHyphens w:val="0"/>
      <w:ind w:left="720"/>
      <w:contextualSpacing/>
    </w:pPr>
    <w:rPr>
      <w:rFonts w:eastAsia="Calibri"/>
      <w:sz w:val="24"/>
      <w:szCs w:val="22"/>
      <w:lang w:eastAsia="en-US"/>
    </w:rPr>
  </w:style>
  <w:style w:type="paragraph" w:customStyle="1" w:styleId="NumberedPara">
    <w:name w:val="Numbered Para"/>
    <w:basedOn w:val="Normal"/>
    <w:link w:val="NumberedParaChar"/>
    <w:rsid w:val="006D5963"/>
    <w:pPr>
      <w:numPr>
        <w:numId w:val="31"/>
      </w:numPr>
      <w:tabs>
        <w:tab w:val="left" w:pos="360"/>
      </w:tabs>
      <w:suppressAutoHyphens w:val="0"/>
      <w:spacing w:before="120"/>
    </w:pPr>
    <w:rPr>
      <w:rFonts w:ascii="Arial" w:hAnsi="Arial"/>
      <w:sz w:val="24"/>
      <w:szCs w:val="24"/>
      <w:lang w:eastAsia="en-US"/>
    </w:rPr>
  </w:style>
  <w:style w:type="character" w:customStyle="1" w:styleId="NumberedParaChar">
    <w:name w:val="Numbered Para Char"/>
    <w:link w:val="NumberedPara"/>
    <w:rsid w:val="006D596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D6ED5-E4B6-4851-9CC7-E5A34F84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Australian Greens NC Proposal</vt:lpstr>
    </vt:vector>
  </TitlesOfParts>
  <Company>HP</Company>
  <LinksUpToDate>false</LinksUpToDate>
  <CharactersWithSpaces>4202</CharactersWithSpaces>
  <SharedDoc>false</SharedDoc>
  <HLinks>
    <vt:vector size="174" baseType="variant">
      <vt:variant>
        <vt:i4>6094939</vt:i4>
      </vt:variant>
      <vt:variant>
        <vt:i4>84</vt:i4>
      </vt:variant>
      <vt:variant>
        <vt:i4>0</vt:i4>
      </vt:variant>
      <vt:variant>
        <vt:i4>5</vt:i4>
      </vt:variant>
      <vt:variant>
        <vt:lpwstr>http://greens.org.au/policies/media-arts-science/media-and-communications</vt:lpwstr>
      </vt:variant>
      <vt:variant>
        <vt:lpwstr/>
      </vt:variant>
      <vt:variant>
        <vt:i4>2687032</vt:i4>
      </vt:variant>
      <vt:variant>
        <vt:i4>81</vt:i4>
      </vt:variant>
      <vt:variant>
        <vt:i4>0</vt:i4>
      </vt:variant>
      <vt:variant>
        <vt:i4>5</vt:i4>
      </vt:variant>
      <vt:variant>
        <vt:lpwstr>http://greens.org.au/policies/sustainable-economy/corporate-governance</vt:lpwstr>
      </vt:variant>
      <vt:variant>
        <vt:lpwstr/>
      </vt:variant>
      <vt:variant>
        <vt:i4>393308</vt:i4>
      </vt:variant>
      <vt:variant>
        <vt:i4>78</vt:i4>
      </vt:variant>
      <vt:variant>
        <vt:i4>0</vt:i4>
      </vt:variant>
      <vt:variant>
        <vt:i4>5</vt:i4>
      </vt:variant>
      <vt:variant>
        <vt:lpwstr>http://greens.org.au/policies/human-rights-democracy/constitutional-reform-and-democracy</vt:lpwstr>
      </vt:variant>
      <vt:variant>
        <vt:lpwstr/>
      </vt:variant>
      <vt:variant>
        <vt:i4>7471151</vt:i4>
      </vt:variant>
      <vt:variant>
        <vt:i4>75</vt:i4>
      </vt:variant>
      <vt:variant>
        <vt:i4>0</vt:i4>
      </vt:variant>
      <vt:variant>
        <vt:i4>5</vt:i4>
      </vt:variant>
      <vt:variant>
        <vt:lpwstr>http://greens.org.au/policies/human-rights-democracy/community-participation-in-government</vt:lpwstr>
      </vt:variant>
      <vt:variant>
        <vt:lpwstr/>
      </vt:variant>
      <vt:variant>
        <vt:i4>7208993</vt:i4>
      </vt:variant>
      <vt:variant>
        <vt:i4>72</vt:i4>
      </vt:variant>
      <vt:variant>
        <vt:i4>0</vt:i4>
      </vt:variant>
      <vt:variant>
        <vt:i4>5</vt:i4>
      </vt:variant>
      <vt:variant>
        <vt:lpwstr>http://greens.org.au/policies/environment/water-inland-aquatic-environments</vt:lpwstr>
      </vt:variant>
      <vt:variant>
        <vt:lpwstr/>
      </vt:variant>
      <vt:variant>
        <vt:i4>2359341</vt:i4>
      </vt:variant>
      <vt:variant>
        <vt:i4>69</vt:i4>
      </vt:variant>
      <vt:variant>
        <vt:i4>0</vt:i4>
      </vt:variant>
      <vt:variant>
        <vt:i4>5</vt:i4>
      </vt:variant>
      <vt:variant>
        <vt:lpwstr>http://greens.org.au/policies/environment/waste</vt:lpwstr>
      </vt:variant>
      <vt:variant>
        <vt:lpwstr/>
      </vt:variant>
      <vt:variant>
        <vt:i4>5111882</vt:i4>
      </vt:variant>
      <vt:variant>
        <vt:i4>66</vt:i4>
      </vt:variant>
      <vt:variant>
        <vt:i4>0</vt:i4>
      </vt:variant>
      <vt:variant>
        <vt:i4>5</vt:i4>
      </vt:variant>
      <vt:variant>
        <vt:lpwstr>http://greens.org.au/policies/sustainable-economy/sustainable-planning-and-transport</vt:lpwstr>
      </vt:variant>
      <vt:variant>
        <vt:lpwstr/>
      </vt:variant>
      <vt:variant>
        <vt:i4>7995450</vt:i4>
      </vt:variant>
      <vt:variant>
        <vt:i4>63</vt:i4>
      </vt:variant>
      <vt:variant>
        <vt:i4>0</vt:i4>
      </vt:variant>
      <vt:variant>
        <vt:i4>5</vt:i4>
      </vt:variant>
      <vt:variant>
        <vt:lpwstr>http://greens.org.au/policies/agriculture-natural-resources/sustainable-agriculture</vt:lpwstr>
      </vt:variant>
      <vt:variant>
        <vt:lpwstr/>
      </vt:variant>
      <vt:variant>
        <vt:i4>5046366</vt:i4>
      </vt:variant>
      <vt:variant>
        <vt:i4>60</vt:i4>
      </vt:variant>
      <vt:variant>
        <vt:i4>0</vt:i4>
      </vt:variant>
      <vt:variant>
        <vt:i4>5</vt:i4>
      </vt:variant>
      <vt:variant>
        <vt:lpwstr>http://greens.org.au/policies/environment/population</vt:lpwstr>
      </vt:variant>
      <vt:variant>
        <vt:lpwstr/>
      </vt:variant>
      <vt:variant>
        <vt:i4>655432</vt:i4>
      </vt:variant>
      <vt:variant>
        <vt:i4>57</vt:i4>
      </vt:variant>
      <vt:variant>
        <vt:i4>0</vt:i4>
      </vt:variant>
      <vt:variant>
        <vt:i4>5</vt:i4>
      </vt:variant>
      <vt:variant>
        <vt:lpwstr>http://greens.org.au/policies/agriculture-natural-resources/natural-resources</vt:lpwstr>
      </vt:variant>
      <vt:variant>
        <vt:lpwstr/>
      </vt:variant>
      <vt:variant>
        <vt:i4>8126516</vt:i4>
      </vt:variant>
      <vt:variant>
        <vt:i4>54</vt:i4>
      </vt:variant>
      <vt:variant>
        <vt:i4>0</vt:i4>
      </vt:variant>
      <vt:variant>
        <vt:i4>5</vt:i4>
      </vt:variant>
      <vt:variant>
        <vt:lpwstr>http://greens.org.au/policies/environment/environmental-principles</vt:lpwstr>
      </vt:variant>
      <vt:variant>
        <vt:lpwstr/>
      </vt:variant>
      <vt:variant>
        <vt:i4>5898318</vt:i4>
      </vt:variant>
      <vt:variant>
        <vt:i4>51</vt:i4>
      </vt:variant>
      <vt:variant>
        <vt:i4>0</vt:i4>
      </vt:variant>
      <vt:variant>
        <vt:i4>5</vt:i4>
      </vt:variant>
      <vt:variant>
        <vt:lpwstr>http://greens.org.au/policies/climate-change-and-energy/climate-change-and-energy</vt:lpwstr>
      </vt:variant>
      <vt:variant>
        <vt:lpwstr/>
      </vt:variant>
      <vt:variant>
        <vt:i4>2883685</vt:i4>
      </vt:variant>
      <vt:variant>
        <vt:i4>48</vt:i4>
      </vt:variant>
      <vt:variant>
        <vt:i4>0</vt:i4>
      </vt:variant>
      <vt:variant>
        <vt:i4>5</vt:i4>
      </vt:variant>
      <vt:variant>
        <vt:lpwstr>http://greens.org.au/policies/environment/biological-diversity</vt:lpwstr>
      </vt:variant>
      <vt:variant>
        <vt:lpwstr/>
      </vt:variant>
      <vt:variant>
        <vt:i4>6160448</vt:i4>
      </vt:variant>
      <vt:variant>
        <vt:i4>45</vt:i4>
      </vt:variant>
      <vt:variant>
        <vt:i4>0</vt:i4>
      </vt:variant>
      <vt:variant>
        <vt:i4>5</vt:i4>
      </vt:variant>
      <vt:variant>
        <vt:lpwstr>http://greens.org.au/policies/environment/animals</vt:lpwstr>
      </vt:variant>
      <vt:variant>
        <vt:lpwstr/>
      </vt:variant>
      <vt:variant>
        <vt:i4>3014759</vt:i4>
      </vt:variant>
      <vt:variant>
        <vt:i4>42</vt:i4>
      </vt:variant>
      <vt:variant>
        <vt:i4>0</vt:i4>
      </vt:variant>
      <vt:variant>
        <vt:i4>5</vt:i4>
      </vt:variant>
      <vt:variant>
        <vt:lpwstr>http://greens.org.au/policies/care-for-people/sport-and-physical-recreation</vt:lpwstr>
      </vt:variant>
      <vt:variant>
        <vt:lpwstr/>
      </vt:variant>
      <vt:variant>
        <vt:i4>6160405</vt:i4>
      </vt:variant>
      <vt:variant>
        <vt:i4>39</vt:i4>
      </vt:variant>
      <vt:variant>
        <vt:i4>0</vt:i4>
      </vt:variant>
      <vt:variant>
        <vt:i4>5</vt:i4>
      </vt:variant>
      <vt:variant>
        <vt:lpwstr>http://greens.org.au/policies/care-for-people/social-services</vt:lpwstr>
      </vt:variant>
      <vt:variant>
        <vt:lpwstr/>
      </vt:variant>
      <vt:variant>
        <vt:i4>2097252</vt:i4>
      </vt:variant>
      <vt:variant>
        <vt:i4>36</vt:i4>
      </vt:variant>
      <vt:variant>
        <vt:i4>0</vt:i4>
      </vt:variant>
      <vt:variant>
        <vt:i4>5</vt:i4>
      </vt:variant>
      <vt:variant>
        <vt:lpwstr>http://greens.org.au/policies/care-for-people/sexuality-and-gender-identity</vt:lpwstr>
      </vt:variant>
      <vt:variant>
        <vt:lpwstr/>
      </vt:variant>
      <vt:variant>
        <vt:i4>7143475</vt:i4>
      </vt:variant>
      <vt:variant>
        <vt:i4>33</vt:i4>
      </vt:variant>
      <vt:variant>
        <vt:i4>0</vt:i4>
      </vt:variant>
      <vt:variant>
        <vt:i4>5</vt:i4>
      </vt:variant>
      <vt:variant>
        <vt:lpwstr>http://greens.org.au/policies/care-for-people/older-people</vt:lpwstr>
      </vt:variant>
      <vt:variant>
        <vt:lpwstr/>
      </vt:variant>
      <vt:variant>
        <vt:i4>4915277</vt:i4>
      </vt:variant>
      <vt:variant>
        <vt:i4>30</vt:i4>
      </vt:variant>
      <vt:variant>
        <vt:i4>0</vt:i4>
      </vt:variant>
      <vt:variant>
        <vt:i4>5</vt:i4>
      </vt:variant>
      <vt:variant>
        <vt:lpwstr>http://greens.org.au/policies/care-for-people/housing</vt:lpwstr>
      </vt:variant>
      <vt:variant>
        <vt:lpwstr/>
      </vt:variant>
      <vt:variant>
        <vt:i4>5767236</vt:i4>
      </vt:variant>
      <vt:variant>
        <vt:i4>27</vt:i4>
      </vt:variant>
      <vt:variant>
        <vt:i4>0</vt:i4>
      </vt:variant>
      <vt:variant>
        <vt:i4>5</vt:i4>
      </vt:variant>
      <vt:variant>
        <vt:lpwstr>http://greens.org.au/policies/care-for-people/health</vt:lpwstr>
      </vt:variant>
      <vt:variant>
        <vt:lpwstr/>
      </vt:variant>
      <vt:variant>
        <vt:i4>4259918</vt:i4>
      </vt:variant>
      <vt:variant>
        <vt:i4>24</vt:i4>
      </vt:variant>
      <vt:variant>
        <vt:i4>0</vt:i4>
      </vt:variant>
      <vt:variant>
        <vt:i4>5</vt:i4>
      </vt:variant>
      <vt:variant>
        <vt:lpwstr>http://greens.org.au/policies/care-for-people/drugs-substance-abuse-and-addiction</vt:lpwstr>
      </vt:variant>
      <vt:variant>
        <vt:lpwstr/>
      </vt:variant>
      <vt:variant>
        <vt:i4>4718676</vt:i4>
      </vt:variant>
      <vt:variant>
        <vt:i4>21</vt:i4>
      </vt:variant>
      <vt:variant>
        <vt:i4>0</vt:i4>
      </vt:variant>
      <vt:variant>
        <vt:i4>5</vt:i4>
      </vt:variant>
      <vt:variant>
        <vt:lpwstr>http://greens.org.au/policies/care-for-people/disability</vt:lpwstr>
      </vt:variant>
      <vt:variant>
        <vt:lpwstr/>
      </vt:variant>
      <vt:variant>
        <vt:i4>3932261</vt:i4>
      </vt:variant>
      <vt:variant>
        <vt:i4>18</vt:i4>
      </vt:variant>
      <vt:variant>
        <vt:i4>0</vt:i4>
      </vt:variant>
      <vt:variant>
        <vt:i4>5</vt:i4>
      </vt:variant>
      <vt:variant>
        <vt:lpwstr>http://greens.org.au/policies/care-for-people/children-and-young-people</vt:lpwstr>
      </vt:variant>
      <vt:variant>
        <vt:lpwstr/>
      </vt:variant>
      <vt:variant>
        <vt:i4>2883638</vt:i4>
      </vt:variant>
      <vt:variant>
        <vt:i4>15</vt:i4>
      </vt:variant>
      <vt:variant>
        <vt:i4>0</vt:i4>
      </vt:variant>
      <vt:variant>
        <vt:i4>5</vt:i4>
      </vt:variant>
      <vt:variant>
        <vt:lpwstr>http://greens.org.au/policies/care-for-people/childcare</vt:lpwstr>
      </vt:variant>
      <vt:variant>
        <vt:lpwstr/>
      </vt:variant>
      <vt:variant>
        <vt:i4>3473508</vt:i4>
      </vt:variant>
      <vt:variant>
        <vt:i4>12</vt:i4>
      </vt:variant>
      <vt:variant>
        <vt:i4>0</vt:i4>
      </vt:variant>
      <vt:variant>
        <vt:i4>5</vt:i4>
      </vt:variant>
      <vt:variant>
        <vt:lpwstr>http://greens.org.au/policies/care-for-people/aboriginal-and-torres-strait-islander-peoples</vt:lpwstr>
      </vt:variant>
      <vt:variant>
        <vt:lpwstr/>
      </vt:variant>
      <vt:variant>
        <vt:i4>6094939</vt:i4>
      </vt:variant>
      <vt:variant>
        <vt:i4>9</vt:i4>
      </vt:variant>
      <vt:variant>
        <vt:i4>0</vt:i4>
      </vt:variant>
      <vt:variant>
        <vt:i4>5</vt:i4>
      </vt:variant>
      <vt:variant>
        <vt:lpwstr>http://greens.org.au/policies/sustainable-economy/employment-and-industrial-relations</vt:lpwstr>
      </vt:variant>
      <vt:variant>
        <vt:lpwstr/>
      </vt:variant>
      <vt:variant>
        <vt:i4>7405615</vt:i4>
      </vt:variant>
      <vt:variant>
        <vt:i4>6</vt:i4>
      </vt:variant>
      <vt:variant>
        <vt:i4>0</vt:i4>
      </vt:variant>
      <vt:variant>
        <vt:i4>5</vt:i4>
      </vt:variant>
      <vt:variant>
        <vt:lpwstr>http://greens.org.au/policies/sustainable-economy/economics</vt:lpwstr>
      </vt:variant>
      <vt:variant>
        <vt:lpwstr/>
      </vt:variant>
      <vt:variant>
        <vt:i4>2818101</vt:i4>
      </vt:variant>
      <vt:variant>
        <vt:i4>3</vt:i4>
      </vt:variant>
      <vt:variant>
        <vt:i4>0</vt:i4>
      </vt:variant>
      <vt:variant>
        <vt:i4>5</vt:i4>
      </vt:variant>
      <vt:variant>
        <vt:lpwstr>http://greens.org.au/policies/human-rights-democracy/peace-and-security</vt:lpwstr>
      </vt:variant>
      <vt:variant>
        <vt:lpwstr/>
      </vt:variant>
      <vt:variant>
        <vt:i4>6225941</vt:i4>
      </vt:variant>
      <vt:variant>
        <vt:i4>0</vt:i4>
      </vt:variant>
      <vt:variant>
        <vt:i4>0</vt:i4>
      </vt:variant>
      <vt:variant>
        <vt:i4>5</vt:i4>
      </vt:variant>
      <vt:variant>
        <vt:lpwstr>http://greens.org.au/policies/human-rights-democracy/international-relations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Greens NC Proposal</dc:title>
  <dc:creator>alex schlotzer</dc:creator>
  <cp:lastModifiedBy>Brett Constable</cp:lastModifiedBy>
  <cp:revision>12</cp:revision>
  <cp:lastPrinted>2014-02-22T23:53:00Z</cp:lastPrinted>
  <dcterms:created xsi:type="dcterms:W3CDTF">2015-06-06T03:37:00Z</dcterms:created>
  <dcterms:modified xsi:type="dcterms:W3CDTF">2020-06-25T03:23:00Z</dcterms:modified>
</cp:coreProperties>
</file>