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3D751" w14:textId="77777777" w:rsidR="008C5633" w:rsidRDefault="008C5633"/>
    <w:p w14:paraId="07B2E925" w14:textId="77777777" w:rsidR="007642AD" w:rsidRDefault="007642AD" w:rsidP="007642AD"/>
    <w:p w14:paraId="136440B7" w14:textId="081361FC" w:rsidR="004077DE" w:rsidRPr="004077DE" w:rsidRDefault="00227D21" w:rsidP="000234A2">
      <w:pPr>
        <w:pStyle w:val="Title"/>
        <w:rPr>
          <w:b/>
          <w:bCs/>
          <w:lang w:val="en-US"/>
        </w:rPr>
      </w:pPr>
      <w:r w:rsidRPr="004077DE">
        <w:rPr>
          <w:b/>
          <w:bCs/>
          <w:lang w:val="en-US"/>
        </w:rPr>
        <w:t xml:space="preserve">MEDIA </w:t>
      </w:r>
      <w:r w:rsidR="00DE051B" w:rsidRPr="004077DE">
        <w:rPr>
          <w:b/>
          <w:bCs/>
          <w:lang w:val="en-US"/>
        </w:rPr>
        <w:t>BRIEF</w:t>
      </w:r>
      <w:r w:rsidRPr="004077DE">
        <w:rPr>
          <w:b/>
          <w:bCs/>
          <w:lang w:val="en-US"/>
        </w:rPr>
        <w:t>ING</w:t>
      </w:r>
      <w:r w:rsidR="00DE051B" w:rsidRPr="004077DE">
        <w:rPr>
          <w:b/>
          <w:bCs/>
          <w:lang w:val="en-US"/>
        </w:rPr>
        <w:t xml:space="preserve"> </w:t>
      </w:r>
    </w:p>
    <w:p w14:paraId="1CFB3D80" w14:textId="04BAF561" w:rsidR="007642AD" w:rsidRDefault="00D13F38" w:rsidP="000234A2">
      <w:pPr>
        <w:pStyle w:val="Title"/>
        <w:rPr>
          <w:i/>
        </w:rPr>
      </w:pPr>
      <w:r>
        <w:rPr>
          <w:lang w:val="en-US"/>
        </w:rPr>
        <w:t xml:space="preserve">The Greens </w:t>
      </w:r>
      <w:r w:rsidR="00CB7E8D" w:rsidRPr="00D13F38">
        <w:rPr>
          <w:i/>
          <w:iCs/>
        </w:rPr>
        <w:t>Residential Tenancies Amendment (Rent Control) Bill 2026</w:t>
      </w:r>
    </w:p>
    <w:sdt>
      <w:sdtPr>
        <w:rPr>
          <w:rFonts w:asciiTheme="minorHAnsi" w:eastAsiaTheme="minorHAnsi" w:hAnsiTheme="minorHAnsi" w:cstheme="minorBidi"/>
          <w:color w:val="auto"/>
          <w:kern w:val="2"/>
          <w:sz w:val="24"/>
          <w:szCs w:val="24"/>
          <w:lang w:val="en-AU"/>
          <w14:ligatures w14:val="standardContextual"/>
        </w:rPr>
        <w:id w:val="355698254"/>
        <w:docPartObj>
          <w:docPartGallery w:val="Table of Contents"/>
          <w:docPartUnique/>
        </w:docPartObj>
      </w:sdtPr>
      <w:sdtEndPr>
        <w:rPr>
          <w:b/>
          <w:bCs/>
          <w:noProof/>
        </w:rPr>
      </w:sdtEndPr>
      <w:sdtContent>
        <w:p w14:paraId="16B3D744" w14:textId="5E23484D" w:rsidR="007B477A" w:rsidRPr="001F75FE" w:rsidRDefault="007B477A">
          <w:pPr>
            <w:pStyle w:val="TOCHeading"/>
            <w:rPr>
              <w:b/>
            </w:rPr>
          </w:pPr>
          <w:r w:rsidRPr="001F75FE">
            <w:rPr>
              <w:b/>
            </w:rPr>
            <w:t>Contents</w:t>
          </w:r>
        </w:p>
        <w:p w14:paraId="52716C07" w14:textId="286ABA02" w:rsidR="00474C0A" w:rsidRDefault="007B477A">
          <w:pPr>
            <w:pStyle w:val="TOC1"/>
            <w:tabs>
              <w:tab w:val="right" w:leader="dot" w:pos="9016"/>
            </w:tabs>
            <w:rPr>
              <w:rFonts w:eastAsiaTheme="minorEastAsia"/>
              <w:noProof/>
              <w:lang w:eastAsia="en-AU"/>
            </w:rPr>
          </w:pPr>
          <w:r>
            <w:fldChar w:fldCharType="begin"/>
          </w:r>
          <w:r>
            <w:instrText xml:space="preserve"> TOC \o "1-3" \h \z \u </w:instrText>
          </w:r>
          <w:r>
            <w:fldChar w:fldCharType="separate"/>
          </w:r>
          <w:hyperlink w:anchor="_Toc243059488" w:history="1">
            <w:r w:rsidR="00474C0A" w:rsidRPr="00C541B6">
              <w:rPr>
                <w:rStyle w:val="Hyperlink"/>
                <w:noProof/>
              </w:rPr>
              <w:t>The rent is too damn high – and getting worse</w:t>
            </w:r>
            <w:r w:rsidR="00474C0A">
              <w:rPr>
                <w:noProof/>
                <w:webHidden/>
              </w:rPr>
              <w:tab/>
            </w:r>
            <w:r w:rsidR="00474C0A">
              <w:rPr>
                <w:noProof/>
                <w:webHidden/>
              </w:rPr>
              <w:fldChar w:fldCharType="begin"/>
            </w:r>
            <w:r w:rsidR="00474C0A">
              <w:rPr>
                <w:noProof/>
                <w:webHidden/>
              </w:rPr>
              <w:instrText xml:space="preserve"> PAGEREF _Toc243059488 \h </w:instrText>
            </w:r>
            <w:r w:rsidR="00474C0A">
              <w:rPr>
                <w:noProof/>
                <w:webHidden/>
              </w:rPr>
            </w:r>
            <w:r w:rsidR="00474C0A">
              <w:rPr>
                <w:noProof/>
                <w:webHidden/>
              </w:rPr>
              <w:fldChar w:fldCharType="separate"/>
            </w:r>
            <w:r w:rsidR="00474C0A">
              <w:rPr>
                <w:noProof/>
                <w:webHidden/>
              </w:rPr>
              <w:t>1</w:t>
            </w:r>
            <w:r w:rsidR="00474C0A">
              <w:rPr>
                <w:noProof/>
                <w:webHidden/>
              </w:rPr>
              <w:fldChar w:fldCharType="end"/>
            </w:r>
          </w:hyperlink>
        </w:p>
        <w:p w14:paraId="644A3929" w14:textId="2CF98363" w:rsidR="00474C0A" w:rsidRDefault="00474C0A">
          <w:pPr>
            <w:pStyle w:val="TOC1"/>
            <w:tabs>
              <w:tab w:val="right" w:leader="dot" w:pos="9016"/>
            </w:tabs>
            <w:rPr>
              <w:rFonts w:eastAsiaTheme="minorEastAsia"/>
              <w:noProof/>
              <w:lang w:eastAsia="en-AU"/>
            </w:rPr>
          </w:pPr>
          <w:hyperlink w:anchor="_Toc243059489" w:history="1">
            <w:r w:rsidRPr="00C541B6">
              <w:rPr>
                <w:rStyle w:val="Hyperlink"/>
                <w:noProof/>
              </w:rPr>
              <w:t>The Suburbs That Would Save the Most From Rent Controls</w:t>
            </w:r>
            <w:r>
              <w:rPr>
                <w:noProof/>
                <w:webHidden/>
              </w:rPr>
              <w:tab/>
            </w:r>
            <w:r>
              <w:rPr>
                <w:noProof/>
                <w:webHidden/>
              </w:rPr>
              <w:fldChar w:fldCharType="begin"/>
            </w:r>
            <w:r>
              <w:rPr>
                <w:noProof/>
                <w:webHidden/>
              </w:rPr>
              <w:instrText xml:space="preserve"> PAGEREF _Toc243059489 \h </w:instrText>
            </w:r>
            <w:r>
              <w:rPr>
                <w:noProof/>
                <w:webHidden/>
              </w:rPr>
            </w:r>
            <w:r>
              <w:rPr>
                <w:noProof/>
                <w:webHidden/>
              </w:rPr>
              <w:fldChar w:fldCharType="separate"/>
            </w:r>
            <w:r>
              <w:rPr>
                <w:noProof/>
                <w:webHidden/>
              </w:rPr>
              <w:t>2</w:t>
            </w:r>
            <w:r>
              <w:rPr>
                <w:noProof/>
                <w:webHidden/>
              </w:rPr>
              <w:fldChar w:fldCharType="end"/>
            </w:r>
          </w:hyperlink>
        </w:p>
        <w:p w14:paraId="0E7FB3F6" w14:textId="517FEDC4" w:rsidR="00474C0A" w:rsidRDefault="00474C0A">
          <w:pPr>
            <w:pStyle w:val="TOC1"/>
            <w:tabs>
              <w:tab w:val="right" w:leader="dot" w:pos="9016"/>
            </w:tabs>
            <w:rPr>
              <w:rFonts w:eastAsiaTheme="minorEastAsia"/>
              <w:noProof/>
              <w:lang w:eastAsia="en-AU"/>
            </w:rPr>
          </w:pPr>
          <w:hyperlink w:anchor="_Toc243059490" w:history="1">
            <w:r w:rsidRPr="00C541B6">
              <w:rPr>
                <w:rStyle w:val="Hyperlink"/>
                <w:noProof/>
              </w:rPr>
              <w:t>Polling, ACT experience and studies back rent controls</w:t>
            </w:r>
            <w:r>
              <w:rPr>
                <w:noProof/>
                <w:webHidden/>
              </w:rPr>
              <w:tab/>
            </w:r>
            <w:r>
              <w:rPr>
                <w:noProof/>
                <w:webHidden/>
              </w:rPr>
              <w:fldChar w:fldCharType="begin"/>
            </w:r>
            <w:r>
              <w:rPr>
                <w:noProof/>
                <w:webHidden/>
              </w:rPr>
              <w:instrText xml:space="preserve"> PAGEREF _Toc243059490 \h </w:instrText>
            </w:r>
            <w:r>
              <w:rPr>
                <w:noProof/>
                <w:webHidden/>
              </w:rPr>
            </w:r>
            <w:r>
              <w:rPr>
                <w:noProof/>
                <w:webHidden/>
              </w:rPr>
              <w:fldChar w:fldCharType="separate"/>
            </w:r>
            <w:r>
              <w:rPr>
                <w:noProof/>
                <w:webHidden/>
              </w:rPr>
              <w:t>4</w:t>
            </w:r>
            <w:r>
              <w:rPr>
                <w:noProof/>
                <w:webHidden/>
              </w:rPr>
              <w:fldChar w:fldCharType="end"/>
            </w:r>
          </w:hyperlink>
        </w:p>
        <w:p w14:paraId="5427A494" w14:textId="041695B3" w:rsidR="00474C0A" w:rsidRDefault="00474C0A">
          <w:pPr>
            <w:pStyle w:val="TOC1"/>
            <w:tabs>
              <w:tab w:val="right" w:leader="dot" w:pos="9016"/>
            </w:tabs>
            <w:rPr>
              <w:rFonts w:eastAsiaTheme="minorEastAsia"/>
              <w:noProof/>
              <w:lang w:eastAsia="en-AU"/>
            </w:rPr>
          </w:pPr>
          <w:hyperlink w:anchor="_Toc243059491" w:history="1">
            <w:r w:rsidRPr="00C541B6">
              <w:rPr>
                <w:rStyle w:val="Hyperlink"/>
                <w:noProof/>
              </w:rPr>
              <w:t>The Greens Rent Control Bill – 4 fundamental reforms</w:t>
            </w:r>
            <w:r>
              <w:rPr>
                <w:noProof/>
                <w:webHidden/>
              </w:rPr>
              <w:tab/>
            </w:r>
            <w:r>
              <w:rPr>
                <w:noProof/>
                <w:webHidden/>
              </w:rPr>
              <w:fldChar w:fldCharType="begin"/>
            </w:r>
            <w:r>
              <w:rPr>
                <w:noProof/>
                <w:webHidden/>
              </w:rPr>
              <w:instrText xml:space="preserve"> PAGEREF _Toc243059491 \h </w:instrText>
            </w:r>
            <w:r>
              <w:rPr>
                <w:noProof/>
                <w:webHidden/>
              </w:rPr>
            </w:r>
            <w:r>
              <w:rPr>
                <w:noProof/>
                <w:webHidden/>
              </w:rPr>
              <w:fldChar w:fldCharType="separate"/>
            </w:r>
            <w:r>
              <w:rPr>
                <w:noProof/>
                <w:webHidden/>
              </w:rPr>
              <w:t>5</w:t>
            </w:r>
            <w:r>
              <w:rPr>
                <w:noProof/>
                <w:webHidden/>
              </w:rPr>
              <w:fldChar w:fldCharType="end"/>
            </w:r>
          </w:hyperlink>
        </w:p>
        <w:p w14:paraId="0FE1B529" w14:textId="65C7F2C1" w:rsidR="00474C0A" w:rsidRDefault="00474C0A">
          <w:pPr>
            <w:pStyle w:val="TOC1"/>
            <w:tabs>
              <w:tab w:val="left" w:pos="480"/>
              <w:tab w:val="right" w:leader="dot" w:pos="9016"/>
            </w:tabs>
            <w:rPr>
              <w:rFonts w:eastAsiaTheme="minorEastAsia"/>
              <w:noProof/>
              <w:lang w:eastAsia="en-AU"/>
            </w:rPr>
          </w:pPr>
          <w:hyperlink w:anchor="_Toc243059492" w:history="1">
            <w:r w:rsidRPr="00C541B6">
              <w:rPr>
                <w:rStyle w:val="Hyperlink"/>
                <w:noProof/>
              </w:rPr>
              <w:t>1.</w:t>
            </w:r>
            <w:r>
              <w:rPr>
                <w:rFonts w:eastAsiaTheme="minorEastAsia"/>
                <w:noProof/>
                <w:lang w:eastAsia="en-AU"/>
              </w:rPr>
              <w:tab/>
            </w:r>
            <w:r w:rsidRPr="00C541B6">
              <w:rPr>
                <w:rStyle w:val="Hyperlink"/>
                <w:noProof/>
              </w:rPr>
              <w:t>Rent Freeze</w:t>
            </w:r>
            <w:r>
              <w:rPr>
                <w:noProof/>
                <w:webHidden/>
              </w:rPr>
              <w:tab/>
            </w:r>
            <w:r>
              <w:rPr>
                <w:noProof/>
                <w:webHidden/>
              </w:rPr>
              <w:fldChar w:fldCharType="begin"/>
            </w:r>
            <w:r>
              <w:rPr>
                <w:noProof/>
                <w:webHidden/>
              </w:rPr>
              <w:instrText xml:space="preserve"> PAGEREF _Toc243059492 \h </w:instrText>
            </w:r>
            <w:r>
              <w:rPr>
                <w:noProof/>
                <w:webHidden/>
              </w:rPr>
            </w:r>
            <w:r>
              <w:rPr>
                <w:noProof/>
                <w:webHidden/>
              </w:rPr>
              <w:fldChar w:fldCharType="separate"/>
            </w:r>
            <w:r>
              <w:rPr>
                <w:noProof/>
                <w:webHidden/>
              </w:rPr>
              <w:t>5</w:t>
            </w:r>
            <w:r>
              <w:rPr>
                <w:noProof/>
                <w:webHidden/>
              </w:rPr>
              <w:fldChar w:fldCharType="end"/>
            </w:r>
          </w:hyperlink>
        </w:p>
        <w:p w14:paraId="60EF8EE1" w14:textId="44AFD961" w:rsidR="00474C0A" w:rsidRDefault="00474C0A">
          <w:pPr>
            <w:pStyle w:val="TOC1"/>
            <w:tabs>
              <w:tab w:val="left" w:pos="480"/>
              <w:tab w:val="right" w:leader="dot" w:pos="9016"/>
            </w:tabs>
            <w:rPr>
              <w:rFonts w:eastAsiaTheme="minorEastAsia"/>
              <w:noProof/>
              <w:lang w:eastAsia="en-AU"/>
            </w:rPr>
          </w:pPr>
          <w:hyperlink w:anchor="_Toc243059493" w:history="1">
            <w:r w:rsidRPr="00C541B6">
              <w:rPr>
                <w:rStyle w:val="Hyperlink"/>
                <w:noProof/>
              </w:rPr>
              <w:t>2.</w:t>
            </w:r>
            <w:r>
              <w:rPr>
                <w:rFonts w:eastAsiaTheme="minorEastAsia"/>
                <w:noProof/>
                <w:lang w:eastAsia="en-AU"/>
              </w:rPr>
              <w:tab/>
            </w:r>
            <w:r w:rsidRPr="00C541B6">
              <w:rPr>
                <w:rStyle w:val="Hyperlink"/>
                <w:noProof/>
              </w:rPr>
              <w:t>Rent Cap at 2%</w:t>
            </w:r>
            <w:r>
              <w:rPr>
                <w:noProof/>
                <w:webHidden/>
              </w:rPr>
              <w:tab/>
            </w:r>
            <w:r>
              <w:rPr>
                <w:noProof/>
                <w:webHidden/>
              </w:rPr>
              <w:fldChar w:fldCharType="begin"/>
            </w:r>
            <w:r>
              <w:rPr>
                <w:noProof/>
                <w:webHidden/>
              </w:rPr>
              <w:instrText xml:space="preserve"> PAGEREF _Toc243059493 \h </w:instrText>
            </w:r>
            <w:r>
              <w:rPr>
                <w:noProof/>
                <w:webHidden/>
              </w:rPr>
            </w:r>
            <w:r>
              <w:rPr>
                <w:noProof/>
                <w:webHidden/>
              </w:rPr>
              <w:fldChar w:fldCharType="separate"/>
            </w:r>
            <w:r>
              <w:rPr>
                <w:noProof/>
                <w:webHidden/>
              </w:rPr>
              <w:t>6</w:t>
            </w:r>
            <w:r>
              <w:rPr>
                <w:noProof/>
                <w:webHidden/>
              </w:rPr>
              <w:fldChar w:fldCharType="end"/>
            </w:r>
          </w:hyperlink>
        </w:p>
        <w:p w14:paraId="6149354A" w14:textId="2BBEF72A" w:rsidR="00474C0A" w:rsidRDefault="00474C0A">
          <w:pPr>
            <w:pStyle w:val="TOC1"/>
            <w:tabs>
              <w:tab w:val="left" w:pos="480"/>
              <w:tab w:val="right" w:leader="dot" w:pos="9016"/>
            </w:tabs>
            <w:rPr>
              <w:rFonts w:eastAsiaTheme="minorEastAsia"/>
              <w:noProof/>
              <w:lang w:eastAsia="en-AU"/>
            </w:rPr>
          </w:pPr>
          <w:hyperlink w:anchor="_Toc243059494" w:history="1">
            <w:r w:rsidRPr="00C541B6">
              <w:rPr>
                <w:rStyle w:val="Hyperlink"/>
                <w:noProof/>
              </w:rPr>
              <w:t>3.</w:t>
            </w:r>
            <w:r>
              <w:rPr>
                <w:rFonts w:eastAsiaTheme="minorEastAsia"/>
                <w:noProof/>
                <w:lang w:eastAsia="en-AU"/>
              </w:rPr>
              <w:tab/>
            </w:r>
            <w:r w:rsidRPr="00C541B6">
              <w:rPr>
                <w:rStyle w:val="Hyperlink"/>
                <w:noProof/>
              </w:rPr>
              <w:t>Rent Reductions</w:t>
            </w:r>
            <w:r>
              <w:rPr>
                <w:noProof/>
                <w:webHidden/>
              </w:rPr>
              <w:tab/>
            </w:r>
            <w:r>
              <w:rPr>
                <w:noProof/>
                <w:webHidden/>
              </w:rPr>
              <w:fldChar w:fldCharType="begin"/>
            </w:r>
            <w:r>
              <w:rPr>
                <w:noProof/>
                <w:webHidden/>
              </w:rPr>
              <w:instrText xml:space="preserve"> PAGEREF _Toc243059494 \h </w:instrText>
            </w:r>
            <w:r>
              <w:rPr>
                <w:noProof/>
                <w:webHidden/>
              </w:rPr>
            </w:r>
            <w:r>
              <w:rPr>
                <w:noProof/>
                <w:webHidden/>
              </w:rPr>
              <w:fldChar w:fldCharType="separate"/>
            </w:r>
            <w:r>
              <w:rPr>
                <w:noProof/>
                <w:webHidden/>
              </w:rPr>
              <w:t>7</w:t>
            </w:r>
            <w:r>
              <w:rPr>
                <w:noProof/>
                <w:webHidden/>
              </w:rPr>
              <w:fldChar w:fldCharType="end"/>
            </w:r>
          </w:hyperlink>
        </w:p>
        <w:p w14:paraId="508E32C5" w14:textId="65AE7DAF" w:rsidR="00474C0A" w:rsidRDefault="00474C0A">
          <w:pPr>
            <w:pStyle w:val="TOC1"/>
            <w:tabs>
              <w:tab w:val="left" w:pos="480"/>
              <w:tab w:val="right" w:leader="dot" w:pos="9016"/>
            </w:tabs>
            <w:rPr>
              <w:rFonts w:eastAsiaTheme="minorEastAsia"/>
              <w:noProof/>
              <w:lang w:eastAsia="en-AU"/>
            </w:rPr>
          </w:pPr>
          <w:hyperlink w:anchor="_Toc243059495" w:history="1">
            <w:r w:rsidRPr="00C541B6">
              <w:rPr>
                <w:rStyle w:val="Hyperlink"/>
                <w:noProof/>
              </w:rPr>
              <w:t>4.</w:t>
            </w:r>
            <w:r>
              <w:rPr>
                <w:rFonts w:eastAsiaTheme="minorEastAsia"/>
                <w:noProof/>
                <w:lang w:eastAsia="en-AU"/>
              </w:rPr>
              <w:tab/>
            </w:r>
            <w:r w:rsidRPr="00C541B6">
              <w:rPr>
                <w:rStyle w:val="Hyperlink"/>
                <w:noProof/>
              </w:rPr>
              <w:t>Rent Security with standard, rolling 2-year fixed terms</w:t>
            </w:r>
            <w:r>
              <w:rPr>
                <w:noProof/>
                <w:webHidden/>
              </w:rPr>
              <w:tab/>
            </w:r>
            <w:r>
              <w:rPr>
                <w:noProof/>
                <w:webHidden/>
              </w:rPr>
              <w:fldChar w:fldCharType="begin"/>
            </w:r>
            <w:r>
              <w:rPr>
                <w:noProof/>
                <w:webHidden/>
              </w:rPr>
              <w:instrText xml:space="preserve"> PAGEREF _Toc243059495 \h </w:instrText>
            </w:r>
            <w:r>
              <w:rPr>
                <w:noProof/>
                <w:webHidden/>
              </w:rPr>
            </w:r>
            <w:r>
              <w:rPr>
                <w:noProof/>
                <w:webHidden/>
              </w:rPr>
              <w:fldChar w:fldCharType="separate"/>
            </w:r>
            <w:r>
              <w:rPr>
                <w:noProof/>
                <w:webHidden/>
              </w:rPr>
              <w:t>8</w:t>
            </w:r>
            <w:r>
              <w:rPr>
                <w:noProof/>
                <w:webHidden/>
              </w:rPr>
              <w:fldChar w:fldCharType="end"/>
            </w:r>
          </w:hyperlink>
        </w:p>
        <w:p w14:paraId="024E2E08" w14:textId="7A3E9611" w:rsidR="00585924" w:rsidRDefault="007B477A" w:rsidP="007B477A">
          <w:r>
            <w:rPr>
              <w:b/>
              <w:bCs/>
              <w:noProof/>
            </w:rPr>
            <w:fldChar w:fldCharType="end"/>
          </w:r>
        </w:p>
      </w:sdtContent>
    </w:sdt>
    <w:p w14:paraId="47FBE1B3" w14:textId="4E9031A2" w:rsidR="000234A2" w:rsidRPr="000234A2" w:rsidRDefault="007B477A" w:rsidP="000234A2">
      <w:pPr>
        <w:pStyle w:val="Heading1"/>
      </w:pPr>
      <w:bookmarkStart w:id="0" w:name="_Toc243059488"/>
      <w:r>
        <w:t>The rent is too damn high – and getting worse</w:t>
      </w:r>
      <w:bookmarkEnd w:id="0"/>
    </w:p>
    <w:p w14:paraId="2575BA39" w14:textId="4F389012" w:rsidR="00446318" w:rsidRDefault="0052166D" w:rsidP="007642AD">
      <w:pPr>
        <w:tabs>
          <w:tab w:val="left" w:pos="4005"/>
        </w:tabs>
      </w:pPr>
      <w:r>
        <w:t>Tenancy laws in NSW allow</w:t>
      </w:r>
      <w:r w:rsidR="007B5BEA">
        <w:t xml:space="preserve"> for </w:t>
      </w:r>
      <w:r w:rsidR="00446318">
        <w:t>unlimited rent increases every year</w:t>
      </w:r>
      <w:r w:rsidR="00A643CF">
        <w:t>. This</w:t>
      </w:r>
      <w:r w:rsidR="00902C4A">
        <w:t xml:space="preserve"> totally unregulated</w:t>
      </w:r>
      <w:r w:rsidR="00A643CF">
        <w:t xml:space="preserve"> approach to rent</w:t>
      </w:r>
      <w:r w:rsidR="00E12BCE">
        <w:t>-</w:t>
      </w:r>
      <w:r w:rsidR="00A643CF">
        <w:t>setting puts</w:t>
      </w:r>
      <w:r w:rsidR="00902C4A">
        <w:t xml:space="preserve"> the interests of investors</w:t>
      </w:r>
      <w:r w:rsidR="00E12BCE">
        <w:t>’</w:t>
      </w:r>
      <w:r w:rsidR="00D417EC">
        <w:t xml:space="preserve"> profits</w:t>
      </w:r>
      <w:r w:rsidR="00902C4A">
        <w:t xml:space="preserve"> ahead of</w:t>
      </w:r>
      <w:r w:rsidR="00D417EC">
        <w:t xml:space="preserve"> the interests of millions of renters </w:t>
      </w:r>
      <w:r w:rsidR="00E12BCE">
        <w:t xml:space="preserve">and their right to a decent, affordable home. </w:t>
      </w:r>
      <w:r w:rsidR="00A643CF">
        <w:t xml:space="preserve"> </w:t>
      </w:r>
    </w:p>
    <w:p w14:paraId="49B9165E" w14:textId="607B8D56" w:rsidR="00F26557" w:rsidRDefault="00F26557" w:rsidP="007642AD">
      <w:pPr>
        <w:tabs>
          <w:tab w:val="left" w:pos="4005"/>
        </w:tabs>
      </w:pPr>
      <w:r>
        <w:t xml:space="preserve">The predictable and tragic result is </w:t>
      </w:r>
      <w:r w:rsidR="003E0E1B">
        <w:t>that</w:t>
      </w:r>
      <w:r w:rsidR="00526DAD">
        <w:t xml:space="preserve"> after 3 years of the Minns Labor Government’s </w:t>
      </w:r>
      <w:r w:rsidR="00CE4A63">
        <w:t>failure to take any meaningful steps to address the housing crisis</w:t>
      </w:r>
      <w:r w:rsidR="00526DAD">
        <w:t>,</w:t>
      </w:r>
      <w:r w:rsidR="003E0E1B">
        <w:t xml:space="preserve"> renters are being squeezed more than ever:</w:t>
      </w:r>
    </w:p>
    <w:p w14:paraId="0853DDFC" w14:textId="54880691" w:rsidR="00136FA6" w:rsidRDefault="006C6041" w:rsidP="00136FA6">
      <w:pPr>
        <w:pStyle w:val="ListParagraph"/>
        <w:numPr>
          <w:ilvl w:val="0"/>
          <w:numId w:val="1"/>
        </w:numPr>
      </w:pPr>
      <w:r w:rsidRPr="006C6041">
        <w:rPr>
          <w:b/>
          <w:bCs/>
        </w:rPr>
        <w:t>The</w:t>
      </w:r>
      <w:r w:rsidR="00136FA6" w:rsidRPr="006C6041">
        <w:rPr>
          <w:b/>
          <w:bCs/>
        </w:rPr>
        <w:t xml:space="preserve"> 2026 HILDA Survey shows that in Sydney 45% of private renters are in rental stress </w:t>
      </w:r>
      <w:r w:rsidR="00136FA6">
        <w:t>– that is, spending more than 30% of income on rent.</w:t>
      </w:r>
      <w:r w:rsidR="00014CB0">
        <w:rPr>
          <w:rStyle w:val="FootnoteReference"/>
        </w:rPr>
        <w:footnoteReference w:id="1"/>
      </w:r>
      <w:r w:rsidR="00136FA6">
        <w:t xml:space="preserve"> </w:t>
      </w:r>
    </w:p>
    <w:p w14:paraId="3FB8C744" w14:textId="58A323B6" w:rsidR="00FB15CD" w:rsidRDefault="006C6041" w:rsidP="00FB15CD">
      <w:pPr>
        <w:pStyle w:val="ListParagraph"/>
        <w:numPr>
          <w:ilvl w:val="0"/>
          <w:numId w:val="1"/>
        </w:numPr>
      </w:pPr>
      <w:r>
        <w:t>The</w:t>
      </w:r>
      <w:r w:rsidR="00FB15CD">
        <w:t xml:space="preserve"> </w:t>
      </w:r>
      <w:r w:rsidR="00FB15CD" w:rsidRPr="006C6041">
        <w:rPr>
          <w:b/>
          <w:bCs/>
        </w:rPr>
        <w:t xml:space="preserve">Government’s own Rental Commissioner reports that Western Sydney </w:t>
      </w:r>
      <w:r>
        <w:rPr>
          <w:b/>
          <w:bCs/>
        </w:rPr>
        <w:t xml:space="preserve">has </w:t>
      </w:r>
      <w:r w:rsidR="00FB15CD" w:rsidRPr="006C6041">
        <w:rPr>
          <w:b/>
          <w:bCs/>
        </w:rPr>
        <w:t>rental stress rates higher than 50%.</w:t>
      </w:r>
      <w:r w:rsidR="00502216">
        <w:rPr>
          <w:rStyle w:val="FootnoteReference"/>
          <w:b/>
          <w:bCs/>
        </w:rPr>
        <w:footnoteReference w:id="2"/>
      </w:r>
    </w:p>
    <w:p w14:paraId="39E080B0" w14:textId="214225C1" w:rsidR="00FC3B07" w:rsidRDefault="00FC3B07" w:rsidP="00FC3B07">
      <w:pPr>
        <w:pStyle w:val="ListParagraph"/>
        <w:numPr>
          <w:ilvl w:val="0"/>
          <w:numId w:val="1"/>
        </w:numPr>
      </w:pPr>
      <w:r>
        <w:lastRenderedPageBreak/>
        <w:t xml:space="preserve">The Government’s own rent report shows that in March 2023, median rents in had hit $590 in NSW. In June 2026, the NSW median rent hit $720. </w:t>
      </w:r>
      <w:r w:rsidRPr="006C6041">
        <w:rPr>
          <w:b/>
          <w:bCs/>
        </w:rPr>
        <w:t xml:space="preserve">That is a 22% increase in just 3 years of this Government. </w:t>
      </w:r>
      <w:r w:rsidR="00CF550D">
        <w:rPr>
          <w:rStyle w:val="FootnoteReference"/>
          <w:b/>
          <w:bCs/>
        </w:rPr>
        <w:footnoteReference w:id="3"/>
      </w:r>
    </w:p>
    <w:p w14:paraId="4C363540" w14:textId="60185092" w:rsidR="00E6192E" w:rsidRPr="006C6041" w:rsidRDefault="00E6192E" w:rsidP="00E6192E">
      <w:pPr>
        <w:pStyle w:val="ListParagraph"/>
        <w:numPr>
          <w:ilvl w:val="0"/>
          <w:numId w:val="1"/>
        </w:numPr>
        <w:rPr>
          <w:b/>
          <w:bCs/>
        </w:rPr>
      </w:pPr>
      <w:r w:rsidRPr="006C6041">
        <w:rPr>
          <w:b/>
          <w:bCs/>
        </w:rPr>
        <w:t>In just the 12 months to July 2026, rents spiked 7.6% across Sydney.</w:t>
      </w:r>
      <w:r w:rsidR="00AC2A10">
        <w:rPr>
          <w:rStyle w:val="FootnoteReference"/>
          <w:b/>
          <w:bCs/>
        </w:rPr>
        <w:footnoteReference w:id="4"/>
      </w:r>
    </w:p>
    <w:p w14:paraId="3FDD018A" w14:textId="2B3BFBDB" w:rsidR="008A066C" w:rsidRPr="008A066C" w:rsidRDefault="008A066C" w:rsidP="008A066C">
      <w:pPr>
        <w:pStyle w:val="ListParagraph"/>
        <w:numPr>
          <w:ilvl w:val="0"/>
          <w:numId w:val="1"/>
        </w:numPr>
        <w:rPr>
          <w:lang w:val="en-GB"/>
        </w:rPr>
      </w:pPr>
      <w:r w:rsidRPr="006C6041">
        <w:rPr>
          <w:b/>
          <w:bCs/>
        </w:rPr>
        <w:t xml:space="preserve">In August this year, Everybody’s Home’s ‘Priced Out’ </w:t>
      </w:r>
      <w:r w:rsidRPr="006C6041">
        <w:rPr>
          <w:b/>
          <w:bCs/>
          <w:lang w:val="en-GB"/>
        </w:rPr>
        <w:t>report</w:t>
      </w:r>
      <w:r w:rsidRPr="008A066C">
        <w:rPr>
          <w:lang w:val="en-GB"/>
        </w:rPr>
        <w:t xml:space="preserve"> shows that Sydney’s median unit rent, at about $756 per week, would cost 69% of the pay of someone on the median income, up from 65% in March 2025.</w:t>
      </w:r>
      <w:r w:rsidR="008606AC">
        <w:rPr>
          <w:rStyle w:val="FootnoteReference"/>
          <w:lang w:val="en-GB"/>
        </w:rPr>
        <w:footnoteReference w:id="5"/>
      </w:r>
    </w:p>
    <w:p w14:paraId="3E7A03A6" w14:textId="32C3DF34" w:rsidR="006C6041" w:rsidRPr="006C6041" w:rsidRDefault="006C6041" w:rsidP="006C6041">
      <w:pPr>
        <w:pStyle w:val="ListParagraph"/>
        <w:numPr>
          <w:ilvl w:val="0"/>
          <w:numId w:val="1"/>
        </w:numPr>
        <w:rPr>
          <w:lang w:val="en-GB"/>
        </w:rPr>
      </w:pPr>
      <w:r w:rsidRPr="006C6041">
        <w:rPr>
          <w:b/>
          <w:bCs/>
          <w:lang w:val="en-GB"/>
        </w:rPr>
        <w:t>Anglicare’s Rental Affordability snapshot for 2026</w:t>
      </w:r>
      <w:r w:rsidRPr="006C6041">
        <w:rPr>
          <w:lang w:val="en-GB"/>
        </w:rPr>
        <w:t xml:space="preserve"> revealed that the number of rentals in Sydney affordable for households on the minimum wage have decreased 87% over 5 years.</w:t>
      </w:r>
      <w:r w:rsidR="00566EB5">
        <w:rPr>
          <w:rStyle w:val="FootnoteReference"/>
          <w:lang w:val="en-GB"/>
        </w:rPr>
        <w:footnoteReference w:id="6"/>
      </w:r>
    </w:p>
    <w:p w14:paraId="6AB3F487" w14:textId="4C087131" w:rsidR="003E0E1B" w:rsidRPr="0037626E" w:rsidRDefault="007D0EC9" w:rsidP="000E127F">
      <w:pPr>
        <w:pStyle w:val="ListParagraph"/>
        <w:numPr>
          <w:ilvl w:val="0"/>
          <w:numId w:val="1"/>
        </w:numPr>
        <w:tabs>
          <w:tab w:val="left" w:pos="4005"/>
        </w:tabs>
      </w:pPr>
      <w:r>
        <w:t xml:space="preserve">The </w:t>
      </w:r>
      <w:r w:rsidR="00A12DCA">
        <w:t xml:space="preserve">NCOSS August 2026 </w:t>
      </w:r>
      <w:r w:rsidR="00D04FB2">
        <w:t>Affordability Crisis report revealed</w:t>
      </w:r>
      <w:r w:rsidR="00A12DCA">
        <w:t xml:space="preserve"> that </w:t>
      </w:r>
      <w:r w:rsidR="00BC2A0C" w:rsidRPr="00BC2A0C">
        <w:rPr>
          <w:b/>
          <w:bCs/>
        </w:rPr>
        <w:t>more than half of households in poverty are in extreme housing stress – spending more than half their income on rent – up by a third since the Minns Government was elected in 2023.</w:t>
      </w:r>
      <w:r w:rsidR="00D04FB2">
        <w:rPr>
          <w:rStyle w:val="FootnoteReference"/>
          <w:b/>
          <w:bCs/>
        </w:rPr>
        <w:footnoteReference w:id="7"/>
      </w:r>
    </w:p>
    <w:p w14:paraId="266CECC6" w14:textId="76DE1215" w:rsidR="000234A2" w:rsidRPr="00E65EB3" w:rsidRDefault="00E65EB3" w:rsidP="000234A2">
      <w:pPr>
        <w:pStyle w:val="ListParagraph"/>
        <w:numPr>
          <w:ilvl w:val="0"/>
          <w:numId w:val="1"/>
        </w:numPr>
      </w:pPr>
      <w:r w:rsidRPr="00E65EB3">
        <w:t>The failure to rein in rents is driving renters to seek social housing. The</w:t>
      </w:r>
      <w:r w:rsidR="000234A2" w:rsidRPr="00E65EB3">
        <w:t xml:space="preserve"> social housing waitlist grew</w:t>
      </w:r>
      <w:r w:rsidR="00595855" w:rsidRPr="00E65EB3">
        <w:t xml:space="preserve"> from</w:t>
      </w:r>
      <w:r w:rsidR="000234A2" w:rsidRPr="00E65EB3">
        <w:t xml:space="preserve"> 55,000 under the Coalition government </w:t>
      </w:r>
      <w:r w:rsidR="00595855" w:rsidRPr="00E65EB3">
        <w:t>to now over</w:t>
      </w:r>
      <w:r w:rsidR="000234A2" w:rsidRPr="00E65EB3">
        <w:t xml:space="preserve"> 71,000</w:t>
      </w:r>
      <w:r w:rsidR="00595855" w:rsidRPr="00E65EB3">
        <w:t>. This is a massive</w:t>
      </w:r>
      <w:r w:rsidR="000234A2" w:rsidRPr="00E65EB3">
        <w:t xml:space="preserve"> 25% growth in just </w:t>
      </w:r>
      <w:r w:rsidRPr="00E65EB3">
        <w:t xml:space="preserve">over </w:t>
      </w:r>
      <w:r w:rsidR="000234A2" w:rsidRPr="00E65EB3">
        <w:t>3 years.</w:t>
      </w:r>
      <w:r w:rsidR="007465FD">
        <w:rPr>
          <w:rStyle w:val="FootnoteReference"/>
        </w:rPr>
        <w:footnoteReference w:id="8"/>
      </w:r>
    </w:p>
    <w:p w14:paraId="26061E93" w14:textId="5B4FEC8D" w:rsidR="001F75FE" w:rsidRDefault="007E116E" w:rsidP="001F75FE">
      <w:pPr>
        <w:pStyle w:val="Heading1"/>
      </w:pPr>
      <w:bookmarkStart w:id="1" w:name="_Toc243059489"/>
      <w:r>
        <w:t xml:space="preserve">The Suburbs </w:t>
      </w:r>
      <w:r w:rsidR="0071440C">
        <w:t>That Would Save the Most From Rent Controls</w:t>
      </w:r>
      <w:bookmarkEnd w:id="1"/>
    </w:p>
    <w:p w14:paraId="53CFAF1D" w14:textId="77777777" w:rsidR="001F75FE" w:rsidRDefault="001F75FE" w:rsidP="001F75FE">
      <w:r>
        <w:t>Government data reports on the median rent increases by Local Government Area.</w:t>
      </w:r>
      <w:r>
        <w:rPr>
          <w:rStyle w:val="FootnoteReference"/>
        </w:rPr>
        <w:footnoteReference w:id="9"/>
      </w:r>
      <w:r>
        <w:t xml:space="preserve"> This allows us to show how much better off renters would be today, had the 2% rent cap been in place since 2023. </w:t>
      </w:r>
    </w:p>
    <w:p w14:paraId="617DD0D6" w14:textId="77777777" w:rsidR="001F75FE" w:rsidRDefault="001F75FE" w:rsidP="001F75FE">
      <w:r>
        <w:t xml:space="preserve">LGA covering marginal seats are </w:t>
      </w:r>
      <w:r w:rsidRPr="00626C91">
        <w:rPr>
          <w:highlight w:val="yellow"/>
        </w:rPr>
        <w:t>highlighted</w:t>
      </w:r>
      <w:r>
        <w:t xml:space="preserve">. </w:t>
      </w:r>
    </w:p>
    <w:tbl>
      <w:tblPr>
        <w:tblStyle w:val="GridTable4-Accent1"/>
        <w:tblW w:w="9218" w:type="dxa"/>
        <w:tblLook w:val="04A0" w:firstRow="1" w:lastRow="0" w:firstColumn="1" w:lastColumn="0" w:noHBand="0" w:noVBand="1"/>
      </w:tblPr>
      <w:tblGrid>
        <w:gridCol w:w="1528"/>
        <w:gridCol w:w="1506"/>
        <w:gridCol w:w="1585"/>
        <w:gridCol w:w="1588"/>
        <w:gridCol w:w="1508"/>
        <w:gridCol w:w="1503"/>
      </w:tblGrid>
      <w:tr w:rsidR="001F75FE" w14:paraId="15885785" w14:textId="77777777" w:rsidTr="007D3F98">
        <w:trPr>
          <w:cnfStyle w:val="100000000000" w:firstRow="1" w:lastRow="0" w:firstColumn="0" w:lastColumn="0" w:oddVBand="0" w:evenVBand="0" w:oddHBand="0" w:evenHBand="0" w:firstRowFirstColumn="0" w:firstRowLastColumn="0" w:lastRowFirstColumn="0" w:lastRowLastColumn="0"/>
          <w:trHeight w:val="1181"/>
        </w:trPr>
        <w:tc>
          <w:tcPr>
            <w:cnfStyle w:val="001000000000" w:firstRow="0" w:lastRow="0" w:firstColumn="1" w:lastColumn="0" w:oddVBand="0" w:evenVBand="0" w:oddHBand="0" w:evenHBand="0" w:firstRowFirstColumn="0" w:firstRowLastColumn="0" w:lastRowFirstColumn="0" w:lastRowLastColumn="0"/>
            <w:tcW w:w="1528" w:type="dxa"/>
            <w:vAlign w:val="center"/>
          </w:tcPr>
          <w:p w14:paraId="32C191C3" w14:textId="77777777" w:rsidR="001F75FE" w:rsidRDefault="001F75FE" w:rsidP="007D3F98">
            <w:r>
              <w:t>LGA</w:t>
            </w:r>
          </w:p>
        </w:tc>
        <w:tc>
          <w:tcPr>
            <w:tcW w:w="1506" w:type="dxa"/>
            <w:vAlign w:val="center"/>
          </w:tcPr>
          <w:p w14:paraId="4701AE85" w14:textId="77777777" w:rsidR="001F75FE" w:rsidRDefault="001F75FE" w:rsidP="007D3F98">
            <w:pPr>
              <w:jc w:val="center"/>
              <w:cnfStyle w:val="100000000000" w:firstRow="1" w:lastRow="0" w:firstColumn="0" w:lastColumn="0" w:oddVBand="0" w:evenVBand="0" w:oddHBand="0" w:evenHBand="0" w:firstRowFirstColumn="0" w:firstRowLastColumn="0" w:lastRowFirstColumn="0" w:lastRowLastColumn="0"/>
            </w:pPr>
            <w:r>
              <w:t>June 2023 (actual median)</w:t>
            </w:r>
          </w:p>
        </w:tc>
        <w:tc>
          <w:tcPr>
            <w:tcW w:w="1585" w:type="dxa"/>
            <w:vAlign w:val="center"/>
          </w:tcPr>
          <w:p w14:paraId="26910580" w14:textId="77777777" w:rsidR="001F75FE" w:rsidRDefault="001F75FE" w:rsidP="007D3F98">
            <w:pPr>
              <w:jc w:val="center"/>
              <w:cnfStyle w:val="100000000000" w:firstRow="1" w:lastRow="0" w:firstColumn="0" w:lastColumn="0" w:oddVBand="0" w:evenVBand="0" w:oddHBand="0" w:evenHBand="0" w:firstRowFirstColumn="0" w:firstRowLastColumn="0" w:lastRowFirstColumn="0" w:lastRowLastColumn="0"/>
            </w:pPr>
            <w:r>
              <w:t>June 2026 (actual median)</w:t>
            </w:r>
          </w:p>
        </w:tc>
        <w:tc>
          <w:tcPr>
            <w:tcW w:w="1588" w:type="dxa"/>
            <w:vAlign w:val="center"/>
          </w:tcPr>
          <w:p w14:paraId="248CC988" w14:textId="77777777" w:rsidR="001F75FE" w:rsidRDefault="001F75FE" w:rsidP="007D3F98">
            <w:pPr>
              <w:jc w:val="center"/>
              <w:cnfStyle w:val="100000000000" w:firstRow="1" w:lastRow="0" w:firstColumn="0" w:lastColumn="0" w:oddVBand="0" w:evenVBand="0" w:oddHBand="0" w:evenHBand="0" w:firstRowFirstColumn="0" w:firstRowLastColumn="0" w:lastRowFirstColumn="0" w:lastRowLastColumn="0"/>
            </w:pPr>
            <w:r>
              <w:t>June 2026 (if 2% cap applied)</w:t>
            </w:r>
          </w:p>
        </w:tc>
        <w:tc>
          <w:tcPr>
            <w:tcW w:w="1508" w:type="dxa"/>
            <w:vAlign w:val="center"/>
          </w:tcPr>
          <w:p w14:paraId="481C2B91" w14:textId="77777777" w:rsidR="001F75FE" w:rsidRDefault="001F75FE" w:rsidP="007D3F98">
            <w:pPr>
              <w:jc w:val="center"/>
              <w:cnfStyle w:val="100000000000" w:firstRow="1" w:lastRow="0" w:firstColumn="0" w:lastColumn="0" w:oddVBand="0" w:evenVBand="0" w:oddHBand="0" w:evenHBand="0" w:firstRowFirstColumn="0" w:firstRowLastColumn="0" w:lastRowFirstColumn="0" w:lastRowLastColumn="0"/>
            </w:pPr>
            <w:r>
              <w:t>Total savings over 3 years</w:t>
            </w:r>
          </w:p>
        </w:tc>
        <w:tc>
          <w:tcPr>
            <w:tcW w:w="1503" w:type="dxa"/>
            <w:vAlign w:val="center"/>
          </w:tcPr>
          <w:p w14:paraId="7BC02640" w14:textId="77777777" w:rsidR="001F75FE" w:rsidRDefault="001F75FE" w:rsidP="007D3F98">
            <w:pPr>
              <w:jc w:val="center"/>
              <w:cnfStyle w:val="100000000000" w:firstRow="1" w:lastRow="0" w:firstColumn="0" w:lastColumn="0" w:oddVBand="0" w:evenVBand="0" w:oddHBand="0" w:evenHBand="0" w:firstRowFirstColumn="0" w:firstRowLastColumn="0" w:lastRowFirstColumn="0" w:lastRowLastColumn="0"/>
            </w:pPr>
            <w:r>
              <w:t>Annual savings going forward</w:t>
            </w:r>
          </w:p>
        </w:tc>
      </w:tr>
      <w:tr w:rsidR="001F75FE" w:rsidRPr="00C210EF" w14:paraId="75206860" w14:textId="77777777" w:rsidTr="007D3F9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528" w:type="dxa"/>
            <w:vAlign w:val="center"/>
          </w:tcPr>
          <w:p w14:paraId="2A923CF2" w14:textId="77777777" w:rsidR="001F75FE" w:rsidRPr="00C210EF" w:rsidRDefault="001F75FE" w:rsidP="007D3F98">
            <w:pPr>
              <w:rPr>
                <w:color w:val="000000"/>
              </w:rPr>
            </w:pPr>
            <w:r>
              <w:rPr>
                <w:color w:val="000000"/>
              </w:rPr>
              <w:t>Sydney</w:t>
            </w:r>
          </w:p>
        </w:tc>
        <w:tc>
          <w:tcPr>
            <w:tcW w:w="1506" w:type="dxa"/>
            <w:vAlign w:val="bottom"/>
          </w:tcPr>
          <w:p w14:paraId="4738C929" w14:textId="77777777" w:rsidR="001F75FE" w:rsidRPr="00621973"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621973">
              <w:t>$709</w:t>
            </w:r>
          </w:p>
        </w:tc>
        <w:tc>
          <w:tcPr>
            <w:tcW w:w="1585" w:type="dxa"/>
            <w:vAlign w:val="bottom"/>
          </w:tcPr>
          <w:p w14:paraId="6889FB0A" w14:textId="77777777" w:rsidR="001F75FE" w:rsidRPr="00621973"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621973">
              <w:t>$900</w:t>
            </w:r>
          </w:p>
        </w:tc>
        <w:tc>
          <w:tcPr>
            <w:tcW w:w="1588" w:type="dxa"/>
            <w:vAlign w:val="center"/>
          </w:tcPr>
          <w:p w14:paraId="1070A3F9" w14:textId="77777777" w:rsidR="001F75FE" w:rsidRPr="00621973"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621973">
              <w:t>$752</w:t>
            </w:r>
          </w:p>
        </w:tc>
        <w:tc>
          <w:tcPr>
            <w:tcW w:w="1508" w:type="dxa"/>
            <w:vAlign w:val="bottom"/>
          </w:tcPr>
          <w:p w14:paraId="4C4F4C2A" w14:textId="77777777" w:rsidR="001F75FE" w:rsidRPr="00621973" w:rsidRDefault="001F75FE" w:rsidP="007D3F98">
            <w:pPr>
              <w:jc w:val="center"/>
              <w:cnfStyle w:val="000000100000" w:firstRow="0" w:lastRow="0" w:firstColumn="0" w:lastColumn="0" w:oddVBand="0" w:evenVBand="0" w:oddHBand="1" w:evenHBand="0" w:firstRowFirstColumn="0" w:firstRowLastColumn="0" w:lastRowFirstColumn="0" w:lastRowLastColumn="0"/>
              <w:rPr>
                <w:b/>
                <w:bCs/>
                <w:color w:val="4EA72E" w:themeColor="accent6"/>
              </w:rPr>
            </w:pPr>
            <w:r w:rsidRPr="00621973">
              <w:rPr>
                <w:b/>
                <w:bCs/>
                <w:color w:val="4EA72E" w:themeColor="accent6"/>
              </w:rPr>
              <w:t>$7,479</w:t>
            </w:r>
          </w:p>
        </w:tc>
        <w:tc>
          <w:tcPr>
            <w:tcW w:w="1503" w:type="dxa"/>
            <w:vAlign w:val="bottom"/>
          </w:tcPr>
          <w:p w14:paraId="1929D6C1" w14:textId="77777777" w:rsidR="001F75FE" w:rsidRPr="00621973" w:rsidRDefault="001F75FE" w:rsidP="007D3F98">
            <w:pPr>
              <w:jc w:val="center"/>
              <w:cnfStyle w:val="000000100000" w:firstRow="0" w:lastRow="0" w:firstColumn="0" w:lastColumn="0" w:oddVBand="0" w:evenVBand="0" w:oddHBand="1" w:evenHBand="0" w:firstRowFirstColumn="0" w:firstRowLastColumn="0" w:lastRowFirstColumn="0" w:lastRowLastColumn="0"/>
              <w:rPr>
                <w:b/>
                <w:bCs/>
                <w:color w:val="4EA72E" w:themeColor="accent6"/>
              </w:rPr>
            </w:pPr>
            <w:r w:rsidRPr="00621973">
              <w:rPr>
                <w:b/>
                <w:bCs/>
                <w:color w:val="4EA72E" w:themeColor="accent6"/>
              </w:rPr>
              <w:t>$7,675</w:t>
            </w:r>
          </w:p>
        </w:tc>
      </w:tr>
      <w:tr w:rsidR="001F75FE" w:rsidRPr="00C210EF" w14:paraId="2ECAE700" w14:textId="77777777" w:rsidTr="007D3F98">
        <w:trPr>
          <w:trHeight w:val="287"/>
        </w:trPr>
        <w:tc>
          <w:tcPr>
            <w:cnfStyle w:val="001000000000" w:firstRow="0" w:lastRow="0" w:firstColumn="1" w:lastColumn="0" w:oddVBand="0" w:evenVBand="0" w:oddHBand="0" w:evenHBand="0" w:firstRowFirstColumn="0" w:firstRowLastColumn="0" w:lastRowFirstColumn="0" w:lastRowLastColumn="0"/>
            <w:tcW w:w="1528" w:type="dxa"/>
            <w:vAlign w:val="bottom"/>
          </w:tcPr>
          <w:p w14:paraId="775128E7" w14:textId="77777777" w:rsidR="001F75FE" w:rsidRPr="00C47199" w:rsidRDefault="001F75FE" w:rsidP="007D3F98">
            <w:pPr>
              <w:rPr>
                <w:color w:val="000000"/>
                <w:highlight w:val="yellow"/>
              </w:rPr>
            </w:pPr>
            <w:r w:rsidRPr="00C47199">
              <w:rPr>
                <w:color w:val="000000"/>
                <w:highlight w:val="yellow"/>
                <w:lang w:eastAsia="en-AU"/>
                <w14:ligatures w14:val="none"/>
              </w:rPr>
              <w:lastRenderedPageBreak/>
              <w:t>Cessnock</w:t>
            </w:r>
          </w:p>
        </w:tc>
        <w:tc>
          <w:tcPr>
            <w:tcW w:w="1506" w:type="dxa"/>
            <w:vAlign w:val="bottom"/>
          </w:tcPr>
          <w:p w14:paraId="7F9B13D6" w14:textId="77777777" w:rsidR="001F75FE" w:rsidRPr="00C47199" w:rsidRDefault="001F75FE" w:rsidP="007D3F98">
            <w:pPr>
              <w:jc w:val="center"/>
              <w:cnfStyle w:val="000000000000" w:firstRow="0" w:lastRow="0" w:firstColumn="0" w:lastColumn="0" w:oddVBand="0" w:evenVBand="0" w:oddHBand="0" w:evenHBand="0" w:firstRowFirstColumn="0" w:firstRowLastColumn="0" w:lastRowFirstColumn="0" w:lastRowLastColumn="0"/>
              <w:rPr>
                <w:color w:val="000000"/>
                <w:highlight w:val="yellow"/>
              </w:rPr>
            </w:pPr>
            <w:r w:rsidRPr="00C47199">
              <w:rPr>
                <w:color w:val="000000"/>
                <w:highlight w:val="yellow"/>
                <w:lang w:eastAsia="en-AU"/>
                <w14:ligatures w14:val="none"/>
              </w:rPr>
              <w:t>$480</w:t>
            </w:r>
          </w:p>
        </w:tc>
        <w:tc>
          <w:tcPr>
            <w:tcW w:w="1585" w:type="dxa"/>
            <w:vAlign w:val="bottom"/>
          </w:tcPr>
          <w:p w14:paraId="7B54E490" w14:textId="77777777" w:rsidR="001F75FE" w:rsidRPr="00C47199" w:rsidRDefault="001F75FE" w:rsidP="007D3F98">
            <w:pPr>
              <w:jc w:val="center"/>
              <w:cnfStyle w:val="000000000000" w:firstRow="0" w:lastRow="0" w:firstColumn="0" w:lastColumn="0" w:oddVBand="0" w:evenVBand="0" w:oddHBand="0" w:evenHBand="0" w:firstRowFirstColumn="0" w:firstRowLastColumn="0" w:lastRowFirstColumn="0" w:lastRowLastColumn="0"/>
              <w:rPr>
                <w:color w:val="000000"/>
                <w:highlight w:val="yellow"/>
              </w:rPr>
            </w:pPr>
            <w:r w:rsidRPr="00C47199">
              <w:rPr>
                <w:color w:val="000000"/>
                <w:highlight w:val="yellow"/>
                <w:lang w:eastAsia="en-AU"/>
                <w14:ligatures w14:val="none"/>
              </w:rPr>
              <w:t>$600</w:t>
            </w:r>
          </w:p>
        </w:tc>
        <w:tc>
          <w:tcPr>
            <w:tcW w:w="1588" w:type="dxa"/>
            <w:vAlign w:val="bottom"/>
          </w:tcPr>
          <w:p w14:paraId="02D150D7" w14:textId="77777777" w:rsidR="001F75FE" w:rsidRPr="00C47199" w:rsidRDefault="001F75FE" w:rsidP="007D3F98">
            <w:pPr>
              <w:jc w:val="center"/>
              <w:cnfStyle w:val="000000000000" w:firstRow="0" w:lastRow="0" w:firstColumn="0" w:lastColumn="0" w:oddVBand="0" w:evenVBand="0" w:oddHBand="0" w:evenHBand="0" w:firstRowFirstColumn="0" w:firstRowLastColumn="0" w:lastRowFirstColumn="0" w:lastRowLastColumn="0"/>
              <w:rPr>
                <w:color w:val="000000"/>
                <w:highlight w:val="yellow"/>
              </w:rPr>
            </w:pPr>
            <w:r w:rsidRPr="00C47199">
              <w:rPr>
                <w:color w:val="000000"/>
                <w:highlight w:val="yellow"/>
                <w:lang w:eastAsia="en-AU"/>
                <w14:ligatures w14:val="none"/>
              </w:rPr>
              <w:t>$509</w:t>
            </w:r>
          </w:p>
        </w:tc>
        <w:tc>
          <w:tcPr>
            <w:tcW w:w="1508" w:type="dxa"/>
            <w:vAlign w:val="bottom"/>
          </w:tcPr>
          <w:p w14:paraId="33170A91" w14:textId="77777777" w:rsidR="001F75FE" w:rsidRPr="00C47199" w:rsidRDefault="001F75FE" w:rsidP="007D3F98">
            <w:pPr>
              <w:jc w:val="center"/>
              <w:cnfStyle w:val="000000000000" w:firstRow="0" w:lastRow="0" w:firstColumn="0" w:lastColumn="0" w:oddVBand="0" w:evenVBand="0" w:oddHBand="0" w:evenHBand="0" w:firstRowFirstColumn="0" w:firstRowLastColumn="0" w:lastRowFirstColumn="0" w:lastRowLastColumn="0"/>
              <w:rPr>
                <w:b/>
                <w:bCs/>
                <w:color w:val="4EA72E" w:themeColor="accent6"/>
                <w:highlight w:val="yellow"/>
              </w:rPr>
            </w:pPr>
            <w:r w:rsidRPr="00C47199">
              <w:rPr>
                <w:b/>
                <w:bCs/>
                <w:color w:val="4EA72E"/>
                <w:highlight w:val="yellow"/>
                <w:lang w:eastAsia="en-AU"/>
                <w14:ligatures w14:val="none"/>
              </w:rPr>
              <w:t>$4,711</w:t>
            </w:r>
          </w:p>
        </w:tc>
        <w:tc>
          <w:tcPr>
            <w:tcW w:w="1503" w:type="dxa"/>
            <w:vAlign w:val="bottom"/>
          </w:tcPr>
          <w:p w14:paraId="15FD3AF1" w14:textId="77777777" w:rsidR="001F75FE" w:rsidRPr="00C47199" w:rsidRDefault="001F75FE" w:rsidP="007D3F98">
            <w:pPr>
              <w:jc w:val="center"/>
              <w:cnfStyle w:val="000000000000" w:firstRow="0" w:lastRow="0" w:firstColumn="0" w:lastColumn="0" w:oddVBand="0" w:evenVBand="0" w:oddHBand="0" w:evenHBand="0" w:firstRowFirstColumn="0" w:firstRowLastColumn="0" w:lastRowFirstColumn="0" w:lastRowLastColumn="0"/>
              <w:rPr>
                <w:b/>
                <w:bCs/>
                <w:color w:val="4EA72E" w:themeColor="accent6"/>
                <w:highlight w:val="yellow"/>
              </w:rPr>
            </w:pPr>
            <w:r w:rsidRPr="00C47199">
              <w:rPr>
                <w:b/>
                <w:bCs/>
                <w:color w:val="4EA72E"/>
                <w:highlight w:val="yellow"/>
                <w:lang w:eastAsia="en-AU"/>
                <w14:ligatures w14:val="none"/>
              </w:rPr>
              <w:t>$4,691</w:t>
            </w:r>
          </w:p>
        </w:tc>
      </w:tr>
      <w:tr w:rsidR="001F75FE" w:rsidRPr="00C210EF" w14:paraId="7962C2E7" w14:textId="77777777" w:rsidTr="007D3F9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528" w:type="dxa"/>
            <w:vAlign w:val="bottom"/>
          </w:tcPr>
          <w:p w14:paraId="390CAE5C" w14:textId="77777777" w:rsidR="001F75FE" w:rsidRPr="00C47199" w:rsidRDefault="001F75FE" w:rsidP="007D3F98">
            <w:pPr>
              <w:rPr>
                <w:color w:val="000000"/>
                <w:highlight w:val="yellow"/>
              </w:rPr>
            </w:pPr>
            <w:r w:rsidRPr="00C47199">
              <w:rPr>
                <w:color w:val="000000"/>
                <w:highlight w:val="yellow"/>
                <w:lang w:eastAsia="en-AU"/>
                <w14:ligatures w14:val="none"/>
              </w:rPr>
              <w:t>Canada Bay</w:t>
            </w:r>
          </w:p>
        </w:tc>
        <w:tc>
          <w:tcPr>
            <w:tcW w:w="1506" w:type="dxa"/>
            <w:vAlign w:val="bottom"/>
          </w:tcPr>
          <w:p w14:paraId="3689E493" w14:textId="77777777" w:rsidR="001F75FE" w:rsidRPr="00C47199" w:rsidRDefault="001F75FE" w:rsidP="007D3F98">
            <w:pPr>
              <w:jc w:val="center"/>
              <w:cnfStyle w:val="000000100000" w:firstRow="0" w:lastRow="0" w:firstColumn="0" w:lastColumn="0" w:oddVBand="0" w:evenVBand="0" w:oddHBand="1" w:evenHBand="0" w:firstRowFirstColumn="0" w:firstRowLastColumn="0" w:lastRowFirstColumn="0" w:lastRowLastColumn="0"/>
              <w:rPr>
                <w:color w:val="000000"/>
                <w:highlight w:val="yellow"/>
              </w:rPr>
            </w:pPr>
            <w:r w:rsidRPr="00C47199">
              <w:rPr>
                <w:color w:val="000000"/>
                <w:highlight w:val="yellow"/>
                <w:lang w:eastAsia="en-AU"/>
                <w14:ligatures w14:val="none"/>
              </w:rPr>
              <w:t>$780</w:t>
            </w:r>
          </w:p>
        </w:tc>
        <w:tc>
          <w:tcPr>
            <w:tcW w:w="1585" w:type="dxa"/>
            <w:vAlign w:val="bottom"/>
          </w:tcPr>
          <w:p w14:paraId="6312BD7B" w14:textId="77777777" w:rsidR="001F75FE" w:rsidRPr="00C47199" w:rsidRDefault="001F75FE" w:rsidP="007D3F98">
            <w:pPr>
              <w:jc w:val="center"/>
              <w:cnfStyle w:val="000000100000" w:firstRow="0" w:lastRow="0" w:firstColumn="0" w:lastColumn="0" w:oddVBand="0" w:evenVBand="0" w:oddHBand="1" w:evenHBand="0" w:firstRowFirstColumn="0" w:firstRowLastColumn="0" w:lastRowFirstColumn="0" w:lastRowLastColumn="0"/>
              <w:rPr>
                <w:color w:val="000000"/>
                <w:highlight w:val="yellow"/>
              </w:rPr>
            </w:pPr>
            <w:r w:rsidRPr="00C47199">
              <w:rPr>
                <w:color w:val="000000"/>
                <w:highlight w:val="yellow"/>
                <w:lang w:eastAsia="en-AU"/>
                <w14:ligatures w14:val="none"/>
              </w:rPr>
              <w:t>$897</w:t>
            </w:r>
          </w:p>
        </w:tc>
        <w:tc>
          <w:tcPr>
            <w:tcW w:w="1588" w:type="dxa"/>
            <w:vAlign w:val="bottom"/>
          </w:tcPr>
          <w:p w14:paraId="60FC0EF8" w14:textId="77777777" w:rsidR="001F75FE" w:rsidRPr="00C47199" w:rsidRDefault="001F75FE" w:rsidP="007D3F98">
            <w:pPr>
              <w:jc w:val="center"/>
              <w:cnfStyle w:val="000000100000" w:firstRow="0" w:lastRow="0" w:firstColumn="0" w:lastColumn="0" w:oddVBand="0" w:evenVBand="0" w:oddHBand="1" w:evenHBand="0" w:firstRowFirstColumn="0" w:firstRowLastColumn="0" w:lastRowFirstColumn="0" w:lastRowLastColumn="0"/>
              <w:rPr>
                <w:color w:val="000000"/>
                <w:highlight w:val="yellow"/>
              </w:rPr>
            </w:pPr>
            <w:r w:rsidRPr="00C47199">
              <w:rPr>
                <w:color w:val="000000"/>
                <w:highlight w:val="yellow"/>
                <w:lang w:eastAsia="en-AU"/>
                <w14:ligatures w14:val="none"/>
              </w:rPr>
              <w:t>$828</w:t>
            </w:r>
          </w:p>
        </w:tc>
        <w:tc>
          <w:tcPr>
            <w:tcW w:w="1508" w:type="dxa"/>
            <w:vAlign w:val="bottom"/>
          </w:tcPr>
          <w:p w14:paraId="40D72087" w14:textId="77777777" w:rsidR="001F75FE" w:rsidRPr="00C47199" w:rsidRDefault="001F75FE" w:rsidP="007D3F98">
            <w:pPr>
              <w:jc w:val="center"/>
              <w:cnfStyle w:val="000000100000" w:firstRow="0" w:lastRow="0" w:firstColumn="0" w:lastColumn="0" w:oddVBand="0" w:evenVBand="0" w:oddHBand="1" w:evenHBand="0" w:firstRowFirstColumn="0" w:firstRowLastColumn="0" w:lastRowFirstColumn="0" w:lastRowLastColumn="0"/>
              <w:rPr>
                <w:b/>
                <w:bCs/>
                <w:color w:val="4EA72E" w:themeColor="accent6"/>
                <w:highlight w:val="yellow"/>
              </w:rPr>
            </w:pPr>
            <w:r w:rsidRPr="00C47199">
              <w:rPr>
                <w:b/>
                <w:bCs/>
                <w:color w:val="4EA72E"/>
                <w:highlight w:val="yellow"/>
                <w:lang w:eastAsia="en-AU"/>
                <w14:ligatures w14:val="none"/>
              </w:rPr>
              <w:t>$4,609</w:t>
            </w:r>
          </w:p>
        </w:tc>
        <w:tc>
          <w:tcPr>
            <w:tcW w:w="1503" w:type="dxa"/>
            <w:vAlign w:val="bottom"/>
          </w:tcPr>
          <w:p w14:paraId="1807AC1E" w14:textId="77777777" w:rsidR="001F75FE" w:rsidRPr="00C47199" w:rsidRDefault="001F75FE" w:rsidP="007D3F98">
            <w:pPr>
              <w:jc w:val="center"/>
              <w:cnfStyle w:val="000000100000" w:firstRow="0" w:lastRow="0" w:firstColumn="0" w:lastColumn="0" w:oddVBand="0" w:evenVBand="0" w:oddHBand="1" w:evenHBand="0" w:firstRowFirstColumn="0" w:firstRowLastColumn="0" w:lastRowFirstColumn="0" w:lastRowLastColumn="0"/>
              <w:rPr>
                <w:b/>
                <w:bCs/>
                <w:color w:val="4EA72E" w:themeColor="accent6"/>
                <w:highlight w:val="yellow"/>
              </w:rPr>
            </w:pPr>
            <w:r w:rsidRPr="00C47199">
              <w:rPr>
                <w:b/>
                <w:bCs/>
                <w:color w:val="4EA72E"/>
                <w:highlight w:val="yellow"/>
                <w:lang w:eastAsia="en-AU"/>
                <w14:ligatures w14:val="none"/>
              </w:rPr>
              <w:t>$4,712</w:t>
            </w:r>
          </w:p>
        </w:tc>
      </w:tr>
      <w:tr w:rsidR="001F75FE" w:rsidRPr="00C210EF" w14:paraId="2B4029CA" w14:textId="77777777" w:rsidTr="007D3F98">
        <w:trPr>
          <w:trHeight w:val="287"/>
        </w:trPr>
        <w:tc>
          <w:tcPr>
            <w:cnfStyle w:val="001000000000" w:firstRow="0" w:lastRow="0" w:firstColumn="1" w:lastColumn="0" w:oddVBand="0" w:evenVBand="0" w:oddHBand="0" w:evenHBand="0" w:firstRowFirstColumn="0" w:firstRowLastColumn="0" w:lastRowFirstColumn="0" w:lastRowLastColumn="0"/>
            <w:tcW w:w="1528" w:type="dxa"/>
            <w:vAlign w:val="center"/>
          </w:tcPr>
          <w:p w14:paraId="5CDC071C" w14:textId="77777777" w:rsidR="001F75FE" w:rsidRPr="00C210EF" w:rsidRDefault="001F75FE" w:rsidP="007D3F98">
            <w:pPr>
              <w:rPr>
                <w:color w:val="000000"/>
              </w:rPr>
            </w:pPr>
            <w:r>
              <w:rPr>
                <w:color w:val="000000"/>
              </w:rPr>
              <w:t>Inner West</w:t>
            </w:r>
          </w:p>
        </w:tc>
        <w:tc>
          <w:tcPr>
            <w:tcW w:w="1506" w:type="dxa"/>
            <w:vAlign w:val="center"/>
          </w:tcPr>
          <w:p w14:paraId="0009AC4B" w14:textId="77777777" w:rsidR="001F75FE" w:rsidRPr="00621973"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621973">
              <w:t>$650</w:t>
            </w:r>
          </w:p>
        </w:tc>
        <w:tc>
          <w:tcPr>
            <w:tcW w:w="1585" w:type="dxa"/>
            <w:vAlign w:val="center"/>
          </w:tcPr>
          <w:p w14:paraId="0E237B09" w14:textId="77777777" w:rsidR="001F75FE" w:rsidRPr="00621973"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621973">
              <w:t>$760</w:t>
            </w:r>
          </w:p>
        </w:tc>
        <w:tc>
          <w:tcPr>
            <w:tcW w:w="1588" w:type="dxa"/>
            <w:vAlign w:val="center"/>
          </w:tcPr>
          <w:p w14:paraId="0233CE2F" w14:textId="77777777" w:rsidR="001F75FE" w:rsidRPr="00621973"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621973">
              <w:t>$690</w:t>
            </w:r>
          </w:p>
        </w:tc>
        <w:tc>
          <w:tcPr>
            <w:tcW w:w="1508" w:type="dxa"/>
            <w:vAlign w:val="bottom"/>
          </w:tcPr>
          <w:p w14:paraId="18798DE7" w14:textId="77777777" w:rsidR="001F75FE" w:rsidRPr="00621973" w:rsidRDefault="001F75FE" w:rsidP="007D3F98">
            <w:pPr>
              <w:jc w:val="center"/>
              <w:cnfStyle w:val="000000000000" w:firstRow="0" w:lastRow="0" w:firstColumn="0" w:lastColumn="0" w:oddVBand="0" w:evenVBand="0" w:oddHBand="0" w:evenHBand="0" w:firstRowFirstColumn="0" w:firstRowLastColumn="0" w:lastRowFirstColumn="0" w:lastRowLastColumn="0"/>
              <w:rPr>
                <w:b/>
                <w:bCs/>
                <w:color w:val="4EA72E" w:themeColor="accent6"/>
              </w:rPr>
            </w:pPr>
            <w:r w:rsidRPr="00621973">
              <w:rPr>
                <w:b/>
                <w:bCs/>
                <w:color w:val="4EA72E" w:themeColor="accent6"/>
              </w:rPr>
              <w:t>$4,555</w:t>
            </w:r>
          </w:p>
        </w:tc>
        <w:tc>
          <w:tcPr>
            <w:tcW w:w="1503" w:type="dxa"/>
            <w:vAlign w:val="bottom"/>
          </w:tcPr>
          <w:p w14:paraId="0A459A61" w14:textId="77777777" w:rsidR="001F75FE" w:rsidRPr="00621973" w:rsidRDefault="001F75FE" w:rsidP="007D3F98">
            <w:pPr>
              <w:jc w:val="center"/>
              <w:cnfStyle w:val="000000000000" w:firstRow="0" w:lastRow="0" w:firstColumn="0" w:lastColumn="0" w:oddVBand="0" w:evenVBand="0" w:oddHBand="0" w:evenHBand="0" w:firstRowFirstColumn="0" w:firstRowLastColumn="0" w:lastRowFirstColumn="0" w:lastRowLastColumn="0"/>
              <w:rPr>
                <w:b/>
                <w:bCs/>
                <w:color w:val="4EA72E" w:themeColor="accent6"/>
              </w:rPr>
            </w:pPr>
            <w:r w:rsidRPr="00621973">
              <w:rPr>
                <w:b/>
                <w:bCs/>
                <w:color w:val="4EA72E" w:themeColor="accent6"/>
              </w:rPr>
              <w:t>$3,651</w:t>
            </w:r>
          </w:p>
        </w:tc>
      </w:tr>
      <w:tr w:rsidR="001F75FE" w:rsidRPr="00C210EF" w14:paraId="25BE4100" w14:textId="77777777" w:rsidTr="007D3F9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528" w:type="dxa"/>
            <w:vAlign w:val="center"/>
          </w:tcPr>
          <w:p w14:paraId="578FF4A8" w14:textId="77777777" w:rsidR="001F75FE" w:rsidRPr="00C47199" w:rsidRDefault="001F75FE" w:rsidP="007D3F98">
            <w:pPr>
              <w:rPr>
                <w:highlight w:val="yellow"/>
              </w:rPr>
            </w:pPr>
            <w:r w:rsidRPr="00C47199">
              <w:rPr>
                <w:color w:val="000000"/>
                <w:highlight w:val="yellow"/>
              </w:rPr>
              <w:t>Penrith</w:t>
            </w:r>
          </w:p>
        </w:tc>
        <w:tc>
          <w:tcPr>
            <w:tcW w:w="1506" w:type="dxa"/>
            <w:vAlign w:val="center"/>
          </w:tcPr>
          <w:p w14:paraId="48A9A33A" w14:textId="77777777" w:rsidR="001F75FE" w:rsidRPr="00C47199" w:rsidRDefault="001F75FE" w:rsidP="007D3F98">
            <w:pPr>
              <w:jc w:val="center"/>
              <w:cnfStyle w:val="000000100000" w:firstRow="0" w:lastRow="0" w:firstColumn="0" w:lastColumn="0" w:oddVBand="0" w:evenVBand="0" w:oddHBand="1" w:evenHBand="0" w:firstRowFirstColumn="0" w:firstRowLastColumn="0" w:lastRowFirstColumn="0" w:lastRowLastColumn="0"/>
              <w:rPr>
                <w:highlight w:val="yellow"/>
              </w:rPr>
            </w:pPr>
            <w:r w:rsidRPr="00C47199">
              <w:rPr>
                <w:color w:val="000000"/>
                <w:highlight w:val="yellow"/>
              </w:rPr>
              <w:t>$500</w:t>
            </w:r>
          </w:p>
        </w:tc>
        <w:tc>
          <w:tcPr>
            <w:tcW w:w="1585" w:type="dxa"/>
            <w:vAlign w:val="center"/>
          </w:tcPr>
          <w:p w14:paraId="2EE7CBE0" w14:textId="77777777" w:rsidR="001F75FE" w:rsidRPr="00C47199" w:rsidRDefault="001F75FE" w:rsidP="007D3F98">
            <w:pPr>
              <w:jc w:val="center"/>
              <w:cnfStyle w:val="000000100000" w:firstRow="0" w:lastRow="0" w:firstColumn="0" w:lastColumn="0" w:oddVBand="0" w:evenVBand="0" w:oddHBand="1" w:evenHBand="0" w:firstRowFirstColumn="0" w:firstRowLastColumn="0" w:lastRowFirstColumn="0" w:lastRowLastColumn="0"/>
              <w:rPr>
                <w:highlight w:val="yellow"/>
              </w:rPr>
            </w:pPr>
            <w:r w:rsidRPr="00C47199">
              <w:rPr>
                <w:color w:val="000000"/>
                <w:highlight w:val="yellow"/>
              </w:rPr>
              <w:t>$850</w:t>
            </w:r>
          </w:p>
        </w:tc>
        <w:tc>
          <w:tcPr>
            <w:tcW w:w="1588" w:type="dxa"/>
            <w:vAlign w:val="center"/>
          </w:tcPr>
          <w:p w14:paraId="0D85281F" w14:textId="77777777" w:rsidR="001F75FE" w:rsidRPr="00C47199" w:rsidRDefault="001F75FE" w:rsidP="007D3F98">
            <w:pPr>
              <w:jc w:val="center"/>
              <w:cnfStyle w:val="000000100000" w:firstRow="0" w:lastRow="0" w:firstColumn="0" w:lastColumn="0" w:oddVBand="0" w:evenVBand="0" w:oddHBand="1" w:evenHBand="0" w:firstRowFirstColumn="0" w:firstRowLastColumn="0" w:lastRowFirstColumn="0" w:lastRowLastColumn="0"/>
              <w:rPr>
                <w:highlight w:val="yellow"/>
              </w:rPr>
            </w:pPr>
            <w:r w:rsidRPr="00C47199">
              <w:rPr>
                <w:color w:val="000000"/>
                <w:highlight w:val="yellow"/>
              </w:rPr>
              <w:t>$531</w:t>
            </w:r>
          </w:p>
        </w:tc>
        <w:tc>
          <w:tcPr>
            <w:tcW w:w="1508" w:type="dxa"/>
            <w:vAlign w:val="center"/>
          </w:tcPr>
          <w:p w14:paraId="4860D546" w14:textId="77777777" w:rsidR="001F75FE" w:rsidRPr="00C47199" w:rsidRDefault="001F75FE" w:rsidP="007D3F98">
            <w:pPr>
              <w:jc w:val="center"/>
              <w:cnfStyle w:val="000000100000" w:firstRow="0" w:lastRow="0" w:firstColumn="0" w:lastColumn="0" w:oddVBand="0" w:evenVBand="0" w:oddHBand="1" w:evenHBand="0" w:firstRowFirstColumn="0" w:firstRowLastColumn="0" w:lastRowFirstColumn="0" w:lastRowLastColumn="0"/>
              <w:rPr>
                <w:b/>
                <w:bCs/>
                <w:color w:val="4EA72E" w:themeColor="accent6"/>
                <w:highlight w:val="yellow"/>
              </w:rPr>
            </w:pPr>
            <w:r w:rsidRPr="00C47199">
              <w:rPr>
                <w:b/>
                <w:bCs/>
                <w:color w:val="4EA72E" w:themeColor="accent6"/>
                <w:highlight w:val="yellow"/>
              </w:rPr>
              <w:t>$4,493</w:t>
            </w:r>
          </w:p>
        </w:tc>
        <w:tc>
          <w:tcPr>
            <w:tcW w:w="1503" w:type="dxa"/>
            <w:vAlign w:val="center"/>
          </w:tcPr>
          <w:p w14:paraId="45E2B81E" w14:textId="77777777" w:rsidR="001F75FE" w:rsidRPr="00C47199" w:rsidRDefault="001F75FE" w:rsidP="007D3F98">
            <w:pPr>
              <w:jc w:val="center"/>
              <w:cnfStyle w:val="000000100000" w:firstRow="0" w:lastRow="0" w:firstColumn="0" w:lastColumn="0" w:oddVBand="0" w:evenVBand="0" w:oddHBand="1" w:evenHBand="0" w:firstRowFirstColumn="0" w:firstRowLastColumn="0" w:lastRowFirstColumn="0" w:lastRowLastColumn="0"/>
              <w:rPr>
                <w:b/>
                <w:bCs/>
                <w:color w:val="4EA72E" w:themeColor="accent6"/>
                <w:highlight w:val="yellow"/>
              </w:rPr>
            </w:pPr>
            <w:r w:rsidRPr="00C47199">
              <w:rPr>
                <w:b/>
                <w:bCs/>
                <w:color w:val="4EA72E" w:themeColor="accent6"/>
                <w:highlight w:val="yellow"/>
              </w:rPr>
              <w:t>$4,649</w:t>
            </w:r>
          </w:p>
        </w:tc>
      </w:tr>
      <w:tr w:rsidR="001F75FE" w:rsidRPr="00C210EF" w14:paraId="675E145F" w14:textId="77777777" w:rsidTr="007D3F98">
        <w:trPr>
          <w:trHeight w:val="287"/>
        </w:trPr>
        <w:tc>
          <w:tcPr>
            <w:cnfStyle w:val="001000000000" w:firstRow="0" w:lastRow="0" w:firstColumn="1" w:lastColumn="0" w:oddVBand="0" w:evenVBand="0" w:oddHBand="0" w:evenHBand="0" w:firstRowFirstColumn="0" w:firstRowLastColumn="0" w:lastRowFirstColumn="0" w:lastRowLastColumn="0"/>
            <w:tcW w:w="1528" w:type="dxa"/>
            <w:vAlign w:val="bottom"/>
          </w:tcPr>
          <w:p w14:paraId="0ED05846" w14:textId="77777777" w:rsidR="001F75FE" w:rsidRPr="00C47199" w:rsidRDefault="001F75FE" w:rsidP="007D3F98">
            <w:pPr>
              <w:rPr>
                <w:color w:val="000000"/>
                <w:highlight w:val="yellow"/>
              </w:rPr>
            </w:pPr>
            <w:r w:rsidRPr="00C47199">
              <w:rPr>
                <w:color w:val="000000"/>
                <w:highlight w:val="yellow"/>
                <w:lang w:eastAsia="en-AU"/>
                <w14:ligatures w14:val="none"/>
              </w:rPr>
              <w:t>Ryde</w:t>
            </w:r>
          </w:p>
        </w:tc>
        <w:tc>
          <w:tcPr>
            <w:tcW w:w="1506" w:type="dxa"/>
            <w:vAlign w:val="bottom"/>
          </w:tcPr>
          <w:p w14:paraId="69D71C8A" w14:textId="77777777" w:rsidR="001F75FE" w:rsidRPr="00C47199" w:rsidRDefault="001F75FE" w:rsidP="007D3F98">
            <w:pPr>
              <w:jc w:val="center"/>
              <w:cnfStyle w:val="000000000000" w:firstRow="0" w:lastRow="0" w:firstColumn="0" w:lastColumn="0" w:oddVBand="0" w:evenVBand="0" w:oddHBand="0" w:evenHBand="0" w:firstRowFirstColumn="0" w:firstRowLastColumn="0" w:lastRowFirstColumn="0" w:lastRowLastColumn="0"/>
              <w:rPr>
                <w:color w:val="000000"/>
                <w:highlight w:val="yellow"/>
              </w:rPr>
            </w:pPr>
            <w:r w:rsidRPr="00C47199">
              <w:rPr>
                <w:color w:val="000000"/>
                <w:highlight w:val="yellow"/>
                <w:lang w:eastAsia="en-AU"/>
                <w14:ligatures w14:val="none"/>
              </w:rPr>
              <w:t>$650</w:t>
            </w:r>
          </w:p>
        </w:tc>
        <w:tc>
          <w:tcPr>
            <w:tcW w:w="1585" w:type="dxa"/>
            <w:vAlign w:val="bottom"/>
          </w:tcPr>
          <w:p w14:paraId="7C6ED34A" w14:textId="77777777" w:rsidR="001F75FE" w:rsidRPr="00C47199" w:rsidRDefault="001F75FE" w:rsidP="007D3F98">
            <w:pPr>
              <w:jc w:val="center"/>
              <w:cnfStyle w:val="000000000000" w:firstRow="0" w:lastRow="0" w:firstColumn="0" w:lastColumn="0" w:oddVBand="0" w:evenVBand="0" w:oddHBand="0" w:evenHBand="0" w:firstRowFirstColumn="0" w:firstRowLastColumn="0" w:lastRowFirstColumn="0" w:lastRowLastColumn="0"/>
              <w:rPr>
                <w:color w:val="000000"/>
                <w:highlight w:val="yellow"/>
              </w:rPr>
            </w:pPr>
            <w:r w:rsidRPr="00C47199">
              <w:rPr>
                <w:color w:val="000000"/>
                <w:highlight w:val="yellow"/>
                <w:lang w:eastAsia="en-AU"/>
                <w14:ligatures w14:val="none"/>
              </w:rPr>
              <w:t>$780</w:t>
            </w:r>
          </w:p>
        </w:tc>
        <w:tc>
          <w:tcPr>
            <w:tcW w:w="1588" w:type="dxa"/>
            <w:vAlign w:val="bottom"/>
          </w:tcPr>
          <w:p w14:paraId="42ACB312" w14:textId="77777777" w:rsidR="001F75FE" w:rsidRPr="00C47199" w:rsidRDefault="001F75FE" w:rsidP="007D3F98">
            <w:pPr>
              <w:jc w:val="center"/>
              <w:cnfStyle w:val="000000000000" w:firstRow="0" w:lastRow="0" w:firstColumn="0" w:lastColumn="0" w:oddVBand="0" w:evenVBand="0" w:oddHBand="0" w:evenHBand="0" w:firstRowFirstColumn="0" w:firstRowLastColumn="0" w:lastRowFirstColumn="0" w:lastRowLastColumn="0"/>
              <w:rPr>
                <w:color w:val="000000"/>
                <w:highlight w:val="yellow"/>
              </w:rPr>
            </w:pPr>
            <w:r w:rsidRPr="00C47199">
              <w:rPr>
                <w:color w:val="000000"/>
                <w:highlight w:val="yellow"/>
                <w:lang w:eastAsia="en-AU"/>
                <w14:ligatures w14:val="none"/>
              </w:rPr>
              <w:t>$690</w:t>
            </w:r>
          </w:p>
        </w:tc>
        <w:tc>
          <w:tcPr>
            <w:tcW w:w="1508" w:type="dxa"/>
            <w:vAlign w:val="bottom"/>
          </w:tcPr>
          <w:p w14:paraId="765E96AC" w14:textId="77777777" w:rsidR="001F75FE" w:rsidRPr="00C47199" w:rsidRDefault="001F75FE" w:rsidP="007D3F98">
            <w:pPr>
              <w:jc w:val="center"/>
              <w:cnfStyle w:val="000000000000" w:firstRow="0" w:lastRow="0" w:firstColumn="0" w:lastColumn="0" w:oddVBand="0" w:evenVBand="0" w:oddHBand="0" w:evenHBand="0" w:firstRowFirstColumn="0" w:firstRowLastColumn="0" w:lastRowFirstColumn="0" w:lastRowLastColumn="0"/>
              <w:rPr>
                <w:b/>
                <w:bCs/>
                <w:color w:val="4EA72E" w:themeColor="accent6"/>
                <w:highlight w:val="yellow"/>
              </w:rPr>
            </w:pPr>
            <w:r w:rsidRPr="00C47199">
              <w:rPr>
                <w:b/>
                <w:bCs/>
                <w:color w:val="4EA72E"/>
                <w:highlight w:val="yellow"/>
                <w:lang w:eastAsia="en-AU"/>
                <w14:ligatures w14:val="none"/>
              </w:rPr>
              <w:t>$4,493</w:t>
            </w:r>
          </w:p>
        </w:tc>
        <w:tc>
          <w:tcPr>
            <w:tcW w:w="1503" w:type="dxa"/>
            <w:vAlign w:val="bottom"/>
          </w:tcPr>
          <w:p w14:paraId="25C73C39" w14:textId="77777777" w:rsidR="001F75FE" w:rsidRPr="00C47199" w:rsidRDefault="001F75FE" w:rsidP="007D3F98">
            <w:pPr>
              <w:jc w:val="center"/>
              <w:cnfStyle w:val="000000000000" w:firstRow="0" w:lastRow="0" w:firstColumn="0" w:lastColumn="0" w:oddVBand="0" w:evenVBand="0" w:oddHBand="0" w:evenHBand="0" w:firstRowFirstColumn="0" w:firstRowLastColumn="0" w:lastRowFirstColumn="0" w:lastRowLastColumn="0"/>
              <w:rPr>
                <w:b/>
                <w:bCs/>
                <w:color w:val="4EA72E" w:themeColor="accent6"/>
                <w:highlight w:val="yellow"/>
              </w:rPr>
            </w:pPr>
            <w:r w:rsidRPr="00C47199">
              <w:rPr>
                <w:b/>
                <w:bCs/>
                <w:color w:val="4EA72E"/>
                <w:highlight w:val="yellow"/>
                <w:lang w:eastAsia="en-AU"/>
                <w14:ligatures w14:val="none"/>
              </w:rPr>
              <w:t>$4,649</w:t>
            </w:r>
          </w:p>
        </w:tc>
      </w:tr>
      <w:tr w:rsidR="001F75FE" w:rsidRPr="00C210EF" w14:paraId="589F61E1" w14:textId="77777777" w:rsidTr="007D3F9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528" w:type="dxa"/>
            <w:vAlign w:val="bottom"/>
          </w:tcPr>
          <w:p w14:paraId="1F406D29" w14:textId="77777777" w:rsidR="001F75FE" w:rsidRPr="00C47199" w:rsidRDefault="001F75FE" w:rsidP="007D3F98">
            <w:pPr>
              <w:rPr>
                <w:color w:val="000000"/>
                <w:highlight w:val="yellow"/>
              </w:rPr>
            </w:pPr>
            <w:r w:rsidRPr="00C47199">
              <w:rPr>
                <w:color w:val="000000"/>
                <w:highlight w:val="yellow"/>
                <w:lang w:eastAsia="en-AU"/>
                <w14:ligatures w14:val="none"/>
              </w:rPr>
              <w:t>Georges River</w:t>
            </w:r>
          </w:p>
        </w:tc>
        <w:tc>
          <w:tcPr>
            <w:tcW w:w="1506" w:type="dxa"/>
            <w:vAlign w:val="bottom"/>
          </w:tcPr>
          <w:p w14:paraId="05A87FE9" w14:textId="77777777" w:rsidR="001F75FE" w:rsidRPr="00C47199" w:rsidRDefault="001F75FE" w:rsidP="007D3F98">
            <w:pPr>
              <w:jc w:val="center"/>
              <w:cnfStyle w:val="000000100000" w:firstRow="0" w:lastRow="0" w:firstColumn="0" w:lastColumn="0" w:oddVBand="0" w:evenVBand="0" w:oddHBand="1" w:evenHBand="0" w:firstRowFirstColumn="0" w:firstRowLastColumn="0" w:lastRowFirstColumn="0" w:lastRowLastColumn="0"/>
              <w:rPr>
                <w:color w:val="000000"/>
                <w:highlight w:val="yellow"/>
              </w:rPr>
            </w:pPr>
            <w:r w:rsidRPr="00C47199">
              <w:rPr>
                <w:color w:val="000000"/>
                <w:highlight w:val="yellow"/>
                <w:lang w:eastAsia="en-AU"/>
                <w14:ligatures w14:val="none"/>
              </w:rPr>
              <w:t>$650</w:t>
            </w:r>
          </w:p>
        </w:tc>
        <w:tc>
          <w:tcPr>
            <w:tcW w:w="1585" w:type="dxa"/>
            <w:vAlign w:val="bottom"/>
          </w:tcPr>
          <w:p w14:paraId="2C3FC219" w14:textId="77777777" w:rsidR="001F75FE" w:rsidRPr="00C47199" w:rsidRDefault="001F75FE" w:rsidP="007D3F98">
            <w:pPr>
              <w:jc w:val="center"/>
              <w:cnfStyle w:val="000000100000" w:firstRow="0" w:lastRow="0" w:firstColumn="0" w:lastColumn="0" w:oddVBand="0" w:evenVBand="0" w:oddHBand="1" w:evenHBand="0" w:firstRowFirstColumn="0" w:firstRowLastColumn="0" w:lastRowFirstColumn="0" w:lastRowLastColumn="0"/>
              <w:rPr>
                <w:color w:val="000000"/>
                <w:highlight w:val="yellow"/>
              </w:rPr>
            </w:pPr>
            <w:r w:rsidRPr="00C47199">
              <w:rPr>
                <w:color w:val="000000"/>
                <w:highlight w:val="yellow"/>
                <w:lang w:eastAsia="en-AU"/>
                <w14:ligatures w14:val="none"/>
              </w:rPr>
              <w:t>$750</w:t>
            </w:r>
          </w:p>
        </w:tc>
        <w:tc>
          <w:tcPr>
            <w:tcW w:w="1588" w:type="dxa"/>
            <w:vAlign w:val="bottom"/>
          </w:tcPr>
          <w:p w14:paraId="2505F241" w14:textId="77777777" w:rsidR="001F75FE" w:rsidRPr="00C47199" w:rsidRDefault="001F75FE" w:rsidP="007D3F98">
            <w:pPr>
              <w:jc w:val="center"/>
              <w:cnfStyle w:val="000000100000" w:firstRow="0" w:lastRow="0" w:firstColumn="0" w:lastColumn="0" w:oddVBand="0" w:evenVBand="0" w:oddHBand="1" w:evenHBand="0" w:firstRowFirstColumn="0" w:firstRowLastColumn="0" w:lastRowFirstColumn="0" w:lastRowLastColumn="0"/>
              <w:rPr>
                <w:color w:val="000000"/>
                <w:highlight w:val="yellow"/>
              </w:rPr>
            </w:pPr>
            <w:r w:rsidRPr="00C47199">
              <w:rPr>
                <w:color w:val="000000"/>
                <w:highlight w:val="yellow"/>
                <w:lang w:eastAsia="en-AU"/>
                <w14:ligatures w14:val="none"/>
              </w:rPr>
              <w:t>$690</w:t>
            </w:r>
          </w:p>
        </w:tc>
        <w:tc>
          <w:tcPr>
            <w:tcW w:w="1508" w:type="dxa"/>
            <w:vAlign w:val="bottom"/>
          </w:tcPr>
          <w:p w14:paraId="702B71CA" w14:textId="77777777" w:rsidR="001F75FE" w:rsidRPr="00C47199" w:rsidRDefault="001F75FE" w:rsidP="007D3F98">
            <w:pPr>
              <w:jc w:val="center"/>
              <w:cnfStyle w:val="000000100000" w:firstRow="0" w:lastRow="0" w:firstColumn="0" w:lastColumn="0" w:oddVBand="0" w:evenVBand="0" w:oddHBand="1" w:evenHBand="0" w:firstRowFirstColumn="0" w:firstRowLastColumn="0" w:lastRowFirstColumn="0" w:lastRowLastColumn="0"/>
              <w:rPr>
                <w:b/>
                <w:bCs/>
                <w:color w:val="4EA72E" w:themeColor="accent6"/>
                <w:highlight w:val="yellow"/>
              </w:rPr>
            </w:pPr>
            <w:r w:rsidRPr="00C47199">
              <w:rPr>
                <w:b/>
                <w:bCs/>
                <w:color w:val="4EA72E"/>
                <w:highlight w:val="yellow"/>
                <w:lang w:eastAsia="en-AU"/>
                <w14:ligatures w14:val="none"/>
              </w:rPr>
              <w:t>$4,389</w:t>
            </w:r>
          </w:p>
        </w:tc>
        <w:tc>
          <w:tcPr>
            <w:tcW w:w="1503" w:type="dxa"/>
            <w:vAlign w:val="bottom"/>
          </w:tcPr>
          <w:p w14:paraId="4DB94BD7" w14:textId="77777777" w:rsidR="001F75FE" w:rsidRPr="00C47199" w:rsidRDefault="001F75FE" w:rsidP="007D3F98">
            <w:pPr>
              <w:jc w:val="center"/>
              <w:cnfStyle w:val="000000100000" w:firstRow="0" w:lastRow="0" w:firstColumn="0" w:lastColumn="0" w:oddVBand="0" w:evenVBand="0" w:oddHBand="1" w:evenHBand="0" w:firstRowFirstColumn="0" w:firstRowLastColumn="0" w:lastRowFirstColumn="0" w:lastRowLastColumn="0"/>
              <w:rPr>
                <w:b/>
                <w:bCs/>
                <w:color w:val="4EA72E" w:themeColor="accent6"/>
                <w:highlight w:val="yellow"/>
              </w:rPr>
            </w:pPr>
            <w:r w:rsidRPr="00C47199">
              <w:rPr>
                <w:b/>
                <w:bCs/>
                <w:color w:val="4EA72E"/>
                <w:highlight w:val="yellow"/>
                <w:lang w:eastAsia="en-AU"/>
                <w14:ligatures w14:val="none"/>
              </w:rPr>
              <w:t>$3,601</w:t>
            </w:r>
          </w:p>
        </w:tc>
      </w:tr>
      <w:tr w:rsidR="001F75FE" w:rsidRPr="00C210EF" w14:paraId="0446CEE8" w14:textId="77777777" w:rsidTr="007D3F98">
        <w:trPr>
          <w:trHeight w:val="287"/>
        </w:trPr>
        <w:tc>
          <w:tcPr>
            <w:cnfStyle w:val="001000000000" w:firstRow="0" w:lastRow="0" w:firstColumn="1" w:lastColumn="0" w:oddVBand="0" w:evenVBand="0" w:oddHBand="0" w:evenHBand="0" w:firstRowFirstColumn="0" w:firstRowLastColumn="0" w:lastRowFirstColumn="0" w:lastRowLastColumn="0"/>
            <w:tcW w:w="1528" w:type="dxa"/>
            <w:vAlign w:val="center"/>
          </w:tcPr>
          <w:p w14:paraId="757AC85B" w14:textId="77777777" w:rsidR="001F75FE" w:rsidRPr="00C210EF" w:rsidRDefault="001F75FE" w:rsidP="007D3F98">
            <w:r w:rsidRPr="00C210EF">
              <w:rPr>
                <w:color w:val="000000"/>
              </w:rPr>
              <w:t>The Hills Shire</w:t>
            </w:r>
          </w:p>
        </w:tc>
        <w:tc>
          <w:tcPr>
            <w:tcW w:w="1506" w:type="dxa"/>
            <w:vAlign w:val="center"/>
          </w:tcPr>
          <w:p w14:paraId="0265402D" w14:textId="77777777" w:rsidR="001F75FE" w:rsidRPr="00C210EF"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C210EF">
              <w:rPr>
                <w:color w:val="000000"/>
              </w:rPr>
              <w:t>$720</w:t>
            </w:r>
          </w:p>
        </w:tc>
        <w:tc>
          <w:tcPr>
            <w:tcW w:w="1585" w:type="dxa"/>
            <w:vAlign w:val="center"/>
          </w:tcPr>
          <w:p w14:paraId="015BAE3B" w14:textId="77777777" w:rsidR="001F75FE" w:rsidRPr="00C210EF"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C210EF">
              <w:rPr>
                <w:color w:val="000000"/>
              </w:rPr>
              <w:t>$750</w:t>
            </w:r>
          </w:p>
        </w:tc>
        <w:tc>
          <w:tcPr>
            <w:tcW w:w="1588" w:type="dxa"/>
            <w:vAlign w:val="center"/>
          </w:tcPr>
          <w:p w14:paraId="3537C389" w14:textId="77777777" w:rsidR="001F75FE" w:rsidRPr="00C210EF"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C210EF">
              <w:rPr>
                <w:color w:val="000000"/>
              </w:rPr>
              <w:t>$764</w:t>
            </w:r>
          </w:p>
        </w:tc>
        <w:tc>
          <w:tcPr>
            <w:tcW w:w="1508" w:type="dxa"/>
            <w:vAlign w:val="center"/>
          </w:tcPr>
          <w:p w14:paraId="37552ECA" w14:textId="77777777" w:rsidR="001F75FE" w:rsidRPr="00621973" w:rsidRDefault="001F75FE" w:rsidP="007D3F98">
            <w:pPr>
              <w:jc w:val="center"/>
              <w:cnfStyle w:val="000000000000" w:firstRow="0" w:lastRow="0" w:firstColumn="0" w:lastColumn="0" w:oddVBand="0" w:evenVBand="0" w:oddHBand="0" w:evenHBand="0" w:firstRowFirstColumn="0" w:firstRowLastColumn="0" w:lastRowFirstColumn="0" w:lastRowLastColumn="0"/>
              <w:rPr>
                <w:b/>
                <w:bCs/>
                <w:color w:val="4EA72E" w:themeColor="accent6"/>
              </w:rPr>
            </w:pPr>
            <w:r w:rsidRPr="00621973">
              <w:rPr>
                <w:b/>
                <w:bCs/>
                <w:color w:val="4EA72E" w:themeColor="accent6"/>
              </w:rPr>
              <w:t>$4,373</w:t>
            </w:r>
          </w:p>
        </w:tc>
        <w:tc>
          <w:tcPr>
            <w:tcW w:w="1503" w:type="dxa"/>
            <w:vAlign w:val="center"/>
          </w:tcPr>
          <w:p w14:paraId="59F0C1C7" w14:textId="77777777" w:rsidR="001F75FE" w:rsidRPr="00621973" w:rsidRDefault="001F75FE" w:rsidP="007D3F98">
            <w:pPr>
              <w:jc w:val="center"/>
              <w:cnfStyle w:val="000000000000" w:firstRow="0" w:lastRow="0" w:firstColumn="0" w:lastColumn="0" w:oddVBand="0" w:evenVBand="0" w:oddHBand="0" w:evenHBand="0" w:firstRowFirstColumn="0" w:firstRowLastColumn="0" w:lastRowFirstColumn="0" w:lastRowLastColumn="0"/>
              <w:rPr>
                <w:b/>
                <w:bCs/>
                <w:color w:val="4EA72E" w:themeColor="accent6"/>
              </w:rPr>
            </w:pPr>
            <w:r w:rsidRPr="00621973">
              <w:rPr>
                <w:b/>
                <w:bCs/>
                <w:color w:val="4EA72E" w:themeColor="accent6"/>
              </w:rPr>
              <w:t>$4,468</w:t>
            </w:r>
          </w:p>
        </w:tc>
      </w:tr>
      <w:tr w:rsidR="001F75FE" w:rsidRPr="00C210EF" w14:paraId="228A0E39" w14:textId="77777777" w:rsidTr="007D3F9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528" w:type="dxa"/>
            <w:vAlign w:val="center"/>
          </w:tcPr>
          <w:p w14:paraId="2B7C4511" w14:textId="77777777" w:rsidR="001F75FE" w:rsidRPr="00C210EF" w:rsidRDefault="001F75FE" w:rsidP="007D3F98">
            <w:r w:rsidRPr="00C210EF">
              <w:rPr>
                <w:color w:val="000000"/>
              </w:rPr>
              <w:t>Parramatta</w:t>
            </w:r>
          </w:p>
        </w:tc>
        <w:tc>
          <w:tcPr>
            <w:tcW w:w="1506" w:type="dxa"/>
            <w:vAlign w:val="center"/>
          </w:tcPr>
          <w:p w14:paraId="59726C26" w14:textId="77777777" w:rsidR="001F75FE" w:rsidRPr="00C210EF"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C210EF">
              <w:rPr>
                <w:color w:val="000000"/>
              </w:rPr>
              <w:t>$630</w:t>
            </w:r>
          </w:p>
        </w:tc>
        <w:tc>
          <w:tcPr>
            <w:tcW w:w="1585" w:type="dxa"/>
            <w:vAlign w:val="center"/>
          </w:tcPr>
          <w:p w14:paraId="15ABD8E1" w14:textId="77777777" w:rsidR="001F75FE" w:rsidRPr="00C210EF"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C210EF">
              <w:rPr>
                <w:color w:val="000000"/>
              </w:rPr>
              <w:t>$670</w:t>
            </w:r>
          </w:p>
        </w:tc>
        <w:tc>
          <w:tcPr>
            <w:tcW w:w="1588" w:type="dxa"/>
            <w:vAlign w:val="center"/>
          </w:tcPr>
          <w:p w14:paraId="7CABF8DD" w14:textId="77777777" w:rsidR="001F75FE" w:rsidRPr="00C210EF"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C210EF">
              <w:rPr>
                <w:color w:val="000000"/>
              </w:rPr>
              <w:t>$669</w:t>
            </w:r>
          </w:p>
        </w:tc>
        <w:tc>
          <w:tcPr>
            <w:tcW w:w="1508" w:type="dxa"/>
            <w:vAlign w:val="center"/>
          </w:tcPr>
          <w:p w14:paraId="6C774146" w14:textId="77777777" w:rsidR="001F75FE" w:rsidRPr="00621973" w:rsidRDefault="001F75FE" w:rsidP="007D3F98">
            <w:pPr>
              <w:jc w:val="center"/>
              <w:cnfStyle w:val="000000100000" w:firstRow="0" w:lastRow="0" w:firstColumn="0" w:lastColumn="0" w:oddVBand="0" w:evenVBand="0" w:oddHBand="1" w:evenHBand="0" w:firstRowFirstColumn="0" w:firstRowLastColumn="0" w:lastRowFirstColumn="0" w:lastRowLastColumn="0"/>
              <w:rPr>
                <w:b/>
                <w:bCs/>
                <w:color w:val="4EA72E" w:themeColor="accent6"/>
              </w:rPr>
            </w:pPr>
            <w:r w:rsidRPr="00621973">
              <w:rPr>
                <w:b/>
                <w:bCs/>
                <w:color w:val="4EA72E" w:themeColor="accent6"/>
              </w:rPr>
              <w:t>$4,150</w:t>
            </w:r>
          </w:p>
        </w:tc>
        <w:tc>
          <w:tcPr>
            <w:tcW w:w="1503" w:type="dxa"/>
            <w:vAlign w:val="center"/>
          </w:tcPr>
          <w:p w14:paraId="36101889" w14:textId="77777777" w:rsidR="001F75FE" w:rsidRPr="00621973" w:rsidRDefault="001F75FE" w:rsidP="007D3F98">
            <w:pPr>
              <w:jc w:val="center"/>
              <w:cnfStyle w:val="000000100000" w:firstRow="0" w:lastRow="0" w:firstColumn="0" w:lastColumn="0" w:oddVBand="0" w:evenVBand="0" w:oddHBand="1" w:evenHBand="0" w:firstRowFirstColumn="0" w:firstRowLastColumn="0" w:lastRowFirstColumn="0" w:lastRowLastColumn="0"/>
              <w:rPr>
                <w:b/>
                <w:bCs/>
                <w:color w:val="4EA72E" w:themeColor="accent6"/>
              </w:rPr>
            </w:pPr>
            <w:r w:rsidRPr="00621973">
              <w:rPr>
                <w:b/>
                <w:bCs/>
                <w:color w:val="4EA72E" w:themeColor="accent6"/>
              </w:rPr>
              <w:t>$4,235</w:t>
            </w:r>
          </w:p>
        </w:tc>
      </w:tr>
      <w:tr w:rsidR="001F75FE" w:rsidRPr="00C210EF" w14:paraId="05DCBEE5" w14:textId="77777777" w:rsidTr="007D3F98">
        <w:trPr>
          <w:trHeight w:val="302"/>
        </w:trPr>
        <w:tc>
          <w:tcPr>
            <w:cnfStyle w:val="001000000000" w:firstRow="0" w:lastRow="0" w:firstColumn="1" w:lastColumn="0" w:oddVBand="0" w:evenVBand="0" w:oddHBand="0" w:evenHBand="0" w:firstRowFirstColumn="0" w:firstRowLastColumn="0" w:lastRowFirstColumn="0" w:lastRowLastColumn="0"/>
            <w:tcW w:w="1528" w:type="dxa"/>
            <w:vAlign w:val="center"/>
          </w:tcPr>
          <w:p w14:paraId="25505B01" w14:textId="77777777" w:rsidR="001F75FE" w:rsidRPr="00C210EF" w:rsidRDefault="001F75FE" w:rsidP="007D3F98">
            <w:r w:rsidRPr="00C210EF">
              <w:rPr>
                <w:color w:val="000000"/>
              </w:rPr>
              <w:t>Canterbury Bankstown</w:t>
            </w:r>
          </w:p>
        </w:tc>
        <w:tc>
          <w:tcPr>
            <w:tcW w:w="1506" w:type="dxa"/>
            <w:vAlign w:val="center"/>
          </w:tcPr>
          <w:p w14:paraId="16BFF4FB" w14:textId="77777777" w:rsidR="001F75FE" w:rsidRPr="00C210EF"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C210EF">
              <w:rPr>
                <w:color w:val="000000"/>
              </w:rPr>
              <w:t>$560</w:t>
            </w:r>
          </w:p>
        </w:tc>
        <w:tc>
          <w:tcPr>
            <w:tcW w:w="1585" w:type="dxa"/>
            <w:vAlign w:val="center"/>
          </w:tcPr>
          <w:p w14:paraId="5D25FCD3" w14:textId="77777777" w:rsidR="001F75FE" w:rsidRPr="00C210EF"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C210EF">
              <w:rPr>
                <w:color w:val="000000"/>
              </w:rPr>
              <w:t>$670</w:t>
            </w:r>
          </w:p>
        </w:tc>
        <w:tc>
          <w:tcPr>
            <w:tcW w:w="1588" w:type="dxa"/>
            <w:vAlign w:val="center"/>
          </w:tcPr>
          <w:p w14:paraId="15611AF9" w14:textId="77777777" w:rsidR="001F75FE" w:rsidRPr="00C210EF"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C210EF">
              <w:rPr>
                <w:color w:val="000000"/>
              </w:rPr>
              <w:t>$594</w:t>
            </w:r>
          </w:p>
        </w:tc>
        <w:tc>
          <w:tcPr>
            <w:tcW w:w="1508" w:type="dxa"/>
            <w:vAlign w:val="center"/>
          </w:tcPr>
          <w:p w14:paraId="495480A6" w14:textId="77777777" w:rsidR="001F75FE" w:rsidRPr="00621973" w:rsidRDefault="001F75FE" w:rsidP="007D3F98">
            <w:pPr>
              <w:jc w:val="center"/>
              <w:cnfStyle w:val="000000000000" w:firstRow="0" w:lastRow="0" w:firstColumn="0" w:lastColumn="0" w:oddVBand="0" w:evenVBand="0" w:oddHBand="0" w:evenHBand="0" w:firstRowFirstColumn="0" w:firstRowLastColumn="0" w:lastRowFirstColumn="0" w:lastRowLastColumn="0"/>
              <w:rPr>
                <w:b/>
                <w:bCs/>
                <w:color w:val="4EA72E" w:themeColor="accent6"/>
              </w:rPr>
            </w:pPr>
            <w:r w:rsidRPr="00621973">
              <w:rPr>
                <w:b/>
                <w:bCs/>
                <w:color w:val="4EA72E" w:themeColor="accent6"/>
              </w:rPr>
              <w:t>$3,817</w:t>
            </w:r>
          </w:p>
        </w:tc>
        <w:tc>
          <w:tcPr>
            <w:tcW w:w="1503" w:type="dxa"/>
            <w:vAlign w:val="center"/>
          </w:tcPr>
          <w:p w14:paraId="49D83101" w14:textId="77777777" w:rsidR="001F75FE" w:rsidRPr="00621973" w:rsidRDefault="001F75FE" w:rsidP="007D3F98">
            <w:pPr>
              <w:jc w:val="center"/>
              <w:cnfStyle w:val="000000000000" w:firstRow="0" w:lastRow="0" w:firstColumn="0" w:lastColumn="0" w:oddVBand="0" w:evenVBand="0" w:oddHBand="0" w:evenHBand="0" w:firstRowFirstColumn="0" w:firstRowLastColumn="0" w:lastRowFirstColumn="0" w:lastRowLastColumn="0"/>
              <w:rPr>
                <w:b/>
                <w:bCs/>
                <w:color w:val="4EA72E" w:themeColor="accent6"/>
              </w:rPr>
            </w:pPr>
            <w:r w:rsidRPr="00621973">
              <w:rPr>
                <w:b/>
                <w:bCs/>
                <w:color w:val="4EA72E" w:themeColor="accent6"/>
              </w:rPr>
              <w:t>$3,938</w:t>
            </w:r>
          </w:p>
        </w:tc>
      </w:tr>
      <w:tr w:rsidR="001F75FE" w:rsidRPr="00C210EF" w14:paraId="5E49F961" w14:textId="77777777" w:rsidTr="007D3F9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528" w:type="dxa"/>
            <w:vAlign w:val="center"/>
          </w:tcPr>
          <w:p w14:paraId="00940E45" w14:textId="77777777" w:rsidR="001F75FE" w:rsidRPr="00C210EF" w:rsidRDefault="001F75FE" w:rsidP="007D3F98">
            <w:r w:rsidRPr="00C210EF">
              <w:rPr>
                <w:color w:val="000000"/>
              </w:rPr>
              <w:t>Blacktown</w:t>
            </w:r>
          </w:p>
        </w:tc>
        <w:tc>
          <w:tcPr>
            <w:tcW w:w="1506" w:type="dxa"/>
            <w:vAlign w:val="center"/>
          </w:tcPr>
          <w:p w14:paraId="4AF40D96" w14:textId="77777777" w:rsidR="001F75FE" w:rsidRPr="00C210EF"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C210EF">
              <w:rPr>
                <w:color w:val="000000"/>
              </w:rPr>
              <w:t>$560</w:t>
            </w:r>
          </w:p>
        </w:tc>
        <w:tc>
          <w:tcPr>
            <w:tcW w:w="1585" w:type="dxa"/>
            <w:vAlign w:val="center"/>
          </w:tcPr>
          <w:p w14:paraId="0FBA06E4" w14:textId="77777777" w:rsidR="001F75FE" w:rsidRPr="00C210EF"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C210EF">
              <w:rPr>
                <w:color w:val="000000"/>
              </w:rPr>
              <w:t>$850</w:t>
            </w:r>
          </w:p>
        </w:tc>
        <w:tc>
          <w:tcPr>
            <w:tcW w:w="1588" w:type="dxa"/>
            <w:vAlign w:val="center"/>
          </w:tcPr>
          <w:p w14:paraId="6EA71E22" w14:textId="77777777" w:rsidR="001F75FE" w:rsidRPr="00C210EF"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C210EF">
              <w:rPr>
                <w:color w:val="000000"/>
              </w:rPr>
              <w:t>$594</w:t>
            </w:r>
          </w:p>
        </w:tc>
        <w:tc>
          <w:tcPr>
            <w:tcW w:w="1508" w:type="dxa"/>
            <w:vAlign w:val="center"/>
          </w:tcPr>
          <w:p w14:paraId="1C3BFF3B" w14:textId="77777777" w:rsidR="001F75FE" w:rsidRPr="00621973" w:rsidRDefault="001F75FE" w:rsidP="007D3F98">
            <w:pPr>
              <w:jc w:val="center"/>
              <w:cnfStyle w:val="000000100000" w:firstRow="0" w:lastRow="0" w:firstColumn="0" w:lastColumn="0" w:oddVBand="0" w:evenVBand="0" w:oddHBand="1" w:evenHBand="0" w:firstRowFirstColumn="0" w:firstRowLastColumn="0" w:lastRowFirstColumn="0" w:lastRowLastColumn="0"/>
              <w:rPr>
                <w:b/>
                <w:bCs/>
                <w:color w:val="4EA72E" w:themeColor="accent6"/>
              </w:rPr>
            </w:pPr>
            <w:r w:rsidRPr="00621973">
              <w:rPr>
                <w:b/>
                <w:bCs/>
                <w:color w:val="4EA72E" w:themeColor="accent6"/>
              </w:rPr>
              <w:t>$3,817</w:t>
            </w:r>
          </w:p>
        </w:tc>
        <w:tc>
          <w:tcPr>
            <w:tcW w:w="1503" w:type="dxa"/>
            <w:vAlign w:val="center"/>
          </w:tcPr>
          <w:p w14:paraId="44BB3E18" w14:textId="77777777" w:rsidR="001F75FE" w:rsidRPr="00621973" w:rsidRDefault="001F75FE" w:rsidP="007D3F98">
            <w:pPr>
              <w:jc w:val="center"/>
              <w:cnfStyle w:val="000000100000" w:firstRow="0" w:lastRow="0" w:firstColumn="0" w:lastColumn="0" w:oddVBand="0" w:evenVBand="0" w:oddHBand="1" w:evenHBand="0" w:firstRowFirstColumn="0" w:firstRowLastColumn="0" w:lastRowFirstColumn="0" w:lastRowLastColumn="0"/>
              <w:rPr>
                <w:b/>
                <w:bCs/>
                <w:color w:val="4EA72E" w:themeColor="accent6"/>
              </w:rPr>
            </w:pPr>
            <w:r w:rsidRPr="00621973">
              <w:rPr>
                <w:b/>
                <w:bCs/>
                <w:color w:val="4EA72E" w:themeColor="accent6"/>
              </w:rPr>
              <w:t>$3,938</w:t>
            </w:r>
          </w:p>
        </w:tc>
      </w:tr>
      <w:tr w:rsidR="0083279F" w:rsidRPr="00C210EF" w14:paraId="50C79B8D" w14:textId="77777777" w:rsidTr="00A705C4">
        <w:trPr>
          <w:trHeight w:val="287"/>
        </w:trPr>
        <w:tc>
          <w:tcPr>
            <w:cnfStyle w:val="001000000000" w:firstRow="0" w:lastRow="0" w:firstColumn="1" w:lastColumn="0" w:oddVBand="0" w:evenVBand="0" w:oddHBand="0" w:evenHBand="0" w:firstRowFirstColumn="0" w:firstRowLastColumn="0" w:lastRowFirstColumn="0" w:lastRowLastColumn="0"/>
            <w:tcW w:w="1528" w:type="dxa"/>
          </w:tcPr>
          <w:p w14:paraId="17E43098" w14:textId="6A11B658" w:rsidR="0083279F" w:rsidRPr="00C210EF" w:rsidRDefault="0083279F" w:rsidP="0083279F">
            <w:pPr>
              <w:rPr>
                <w:color w:val="000000"/>
              </w:rPr>
            </w:pPr>
            <w:r w:rsidRPr="00A01323">
              <w:t>Byron</w:t>
            </w:r>
          </w:p>
        </w:tc>
        <w:tc>
          <w:tcPr>
            <w:tcW w:w="1506" w:type="dxa"/>
          </w:tcPr>
          <w:p w14:paraId="2829061F" w14:textId="18980647" w:rsidR="0083279F" w:rsidRPr="00C210EF" w:rsidRDefault="0083279F" w:rsidP="0083279F">
            <w:pPr>
              <w:jc w:val="center"/>
              <w:cnfStyle w:val="000000000000" w:firstRow="0" w:lastRow="0" w:firstColumn="0" w:lastColumn="0" w:oddVBand="0" w:evenVBand="0" w:oddHBand="0" w:evenHBand="0" w:firstRowFirstColumn="0" w:firstRowLastColumn="0" w:lastRowFirstColumn="0" w:lastRowLastColumn="0"/>
              <w:rPr>
                <w:color w:val="000000"/>
              </w:rPr>
            </w:pPr>
            <w:r w:rsidRPr="006A456A">
              <w:t>$785</w:t>
            </w:r>
          </w:p>
        </w:tc>
        <w:tc>
          <w:tcPr>
            <w:tcW w:w="1585" w:type="dxa"/>
          </w:tcPr>
          <w:p w14:paraId="48DC9101" w14:textId="1B358E1D" w:rsidR="0083279F" w:rsidRPr="00C210EF" w:rsidRDefault="0083279F" w:rsidP="0083279F">
            <w:pPr>
              <w:jc w:val="center"/>
              <w:cnfStyle w:val="000000000000" w:firstRow="0" w:lastRow="0" w:firstColumn="0" w:lastColumn="0" w:oddVBand="0" w:evenVBand="0" w:oddHBand="0" w:evenHBand="0" w:firstRowFirstColumn="0" w:firstRowLastColumn="0" w:lastRowFirstColumn="0" w:lastRowLastColumn="0"/>
              <w:rPr>
                <w:color w:val="000000"/>
              </w:rPr>
            </w:pPr>
            <w:r w:rsidRPr="006A456A">
              <w:t>$950</w:t>
            </w:r>
          </w:p>
        </w:tc>
        <w:tc>
          <w:tcPr>
            <w:tcW w:w="1588" w:type="dxa"/>
          </w:tcPr>
          <w:p w14:paraId="50B3A09D" w14:textId="7CC006AE" w:rsidR="0083279F" w:rsidRPr="00C210EF" w:rsidRDefault="0083279F" w:rsidP="0083279F">
            <w:pPr>
              <w:jc w:val="center"/>
              <w:cnfStyle w:val="000000000000" w:firstRow="0" w:lastRow="0" w:firstColumn="0" w:lastColumn="0" w:oddVBand="0" w:evenVBand="0" w:oddHBand="0" w:evenHBand="0" w:firstRowFirstColumn="0" w:firstRowLastColumn="0" w:lastRowFirstColumn="0" w:lastRowLastColumn="0"/>
              <w:rPr>
                <w:color w:val="000000"/>
              </w:rPr>
            </w:pPr>
            <w:r w:rsidRPr="00E922A6">
              <w:t>$823</w:t>
            </w:r>
          </w:p>
        </w:tc>
        <w:tc>
          <w:tcPr>
            <w:tcW w:w="1508" w:type="dxa"/>
          </w:tcPr>
          <w:p w14:paraId="16258B4B" w14:textId="603F5C45" w:rsidR="0083279F" w:rsidRPr="00621973" w:rsidRDefault="0083279F" w:rsidP="0083279F">
            <w:pPr>
              <w:jc w:val="center"/>
              <w:cnfStyle w:val="000000000000" w:firstRow="0" w:lastRow="0" w:firstColumn="0" w:lastColumn="0" w:oddVBand="0" w:evenVBand="0" w:oddHBand="0" w:evenHBand="0" w:firstRowFirstColumn="0" w:firstRowLastColumn="0" w:lastRowFirstColumn="0" w:lastRowLastColumn="0"/>
              <w:rPr>
                <w:b/>
                <w:bCs/>
                <w:color w:val="4EA72E" w:themeColor="accent6"/>
              </w:rPr>
            </w:pPr>
            <w:r w:rsidRPr="0083279F">
              <w:rPr>
                <w:b/>
                <w:bCs/>
                <w:color w:val="4EA72E" w:themeColor="accent6"/>
              </w:rPr>
              <w:t>$6,516</w:t>
            </w:r>
          </w:p>
        </w:tc>
        <w:tc>
          <w:tcPr>
            <w:tcW w:w="1503" w:type="dxa"/>
          </w:tcPr>
          <w:p w14:paraId="395D7112" w14:textId="79C39DF4" w:rsidR="0083279F" w:rsidRPr="00621973" w:rsidRDefault="0083279F" w:rsidP="0083279F">
            <w:pPr>
              <w:jc w:val="center"/>
              <w:cnfStyle w:val="000000000000" w:firstRow="0" w:lastRow="0" w:firstColumn="0" w:lastColumn="0" w:oddVBand="0" w:evenVBand="0" w:oddHBand="0" w:evenHBand="0" w:firstRowFirstColumn="0" w:firstRowLastColumn="0" w:lastRowFirstColumn="0" w:lastRowLastColumn="0"/>
              <w:rPr>
                <w:b/>
                <w:bCs/>
                <w:color w:val="4EA72E" w:themeColor="accent6"/>
              </w:rPr>
            </w:pPr>
            <w:r w:rsidRPr="0083279F">
              <w:rPr>
                <w:b/>
                <w:bCs/>
                <w:color w:val="4EA72E" w:themeColor="accent6"/>
              </w:rPr>
              <w:t>$6,578</w:t>
            </w:r>
          </w:p>
        </w:tc>
      </w:tr>
      <w:tr w:rsidR="0083279F" w:rsidRPr="00C210EF" w14:paraId="4C784B60" w14:textId="77777777" w:rsidTr="00A705C4">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528" w:type="dxa"/>
          </w:tcPr>
          <w:p w14:paraId="50379856" w14:textId="448D3838" w:rsidR="0083279F" w:rsidRPr="00C210EF" w:rsidRDefault="0083279F" w:rsidP="0083279F">
            <w:pPr>
              <w:rPr>
                <w:color w:val="000000"/>
              </w:rPr>
            </w:pPr>
            <w:r w:rsidRPr="00A01323">
              <w:t>Ballina</w:t>
            </w:r>
          </w:p>
        </w:tc>
        <w:tc>
          <w:tcPr>
            <w:tcW w:w="1506" w:type="dxa"/>
          </w:tcPr>
          <w:p w14:paraId="7FDBF1EE" w14:textId="7099AA7A" w:rsidR="0083279F" w:rsidRPr="00C210EF" w:rsidRDefault="0083279F" w:rsidP="0083279F">
            <w:pPr>
              <w:jc w:val="center"/>
              <w:cnfStyle w:val="000000100000" w:firstRow="0" w:lastRow="0" w:firstColumn="0" w:lastColumn="0" w:oddVBand="0" w:evenVBand="0" w:oddHBand="1" w:evenHBand="0" w:firstRowFirstColumn="0" w:firstRowLastColumn="0" w:lastRowFirstColumn="0" w:lastRowLastColumn="0"/>
              <w:rPr>
                <w:color w:val="000000"/>
              </w:rPr>
            </w:pPr>
            <w:r w:rsidRPr="006A456A">
              <w:t>$630</w:t>
            </w:r>
          </w:p>
        </w:tc>
        <w:tc>
          <w:tcPr>
            <w:tcW w:w="1585" w:type="dxa"/>
          </w:tcPr>
          <w:p w14:paraId="33DD3DBC" w14:textId="522DF026" w:rsidR="0083279F" w:rsidRPr="00C210EF" w:rsidRDefault="0083279F" w:rsidP="0083279F">
            <w:pPr>
              <w:jc w:val="center"/>
              <w:cnfStyle w:val="000000100000" w:firstRow="0" w:lastRow="0" w:firstColumn="0" w:lastColumn="0" w:oddVBand="0" w:evenVBand="0" w:oddHBand="1" w:evenHBand="0" w:firstRowFirstColumn="0" w:firstRowLastColumn="0" w:lastRowFirstColumn="0" w:lastRowLastColumn="0"/>
              <w:rPr>
                <w:color w:val="000000"/>
              </w:rPr>
            </w:pPr>
            <w:r w:rsidRPr="006A456A">
              <w:t>$780</w:t>
            </w:r>
          </w:p>
        </w:tc>
        <w:tc>
          <w:tcPr>
            <w:tcW w:w="1588" w:type="dxa"/>
          </w:tcPr>
          <w:p w14:paraId="49961BF4" w14:textId="6DCD2B9B" w:rsidR="0083279F" w:rsidRPr="00C210EF" w:rsidRDefault="0083279F" w:rsidP="0083279F">
            <w:pPr>
              <w:jc w:val="center"/>
              <w:cnfStyle w:val="000000100000" w:firstRow="0" w:lastRow="0" w:firstColumn="0" w:lastColumn="0" w:oddVBand="0" w:evenVBand="0" w:oddHBand="1" w:evenHBand="0" w:firstRowFirstColumn="0" w:firstRowLastColumn="0" w:lastRowFirstColumn="0" w:lastRowLastColumn="0"/>
              <w:rPr>
                <w:color w:val="000000"/>
              </w:rPr>
            </w:pPr>
            <w:r w:rsidRPr="00E922A6">
              <w:t>$669</w:t>
            </w:r>
          </w:p>
        </w:tc>
        <w:tc>
          <w:tcPr>
            <w:tcW w:w="1508" w:type="dxa"/>
          </w:tcPr>
          <w:p w14:paraId="1EBB447F" w14:textId="608F8024" w:rsidR="0083279F" w:rsidRPr="00621973" w:rsidRDefault="0083279F" w:rsidP="0083279F">
            <w:pPr>
              <w:jc w:val="center"/>
              <w:cnfStyle w:val="000000100000" w:firstRow="0" w:lastRow="0" w:firstColumn="0" w:lastColumn="0" w:oddVBand="0" w:evenVBand="0" w:oddHBand="1" w:evenHBand="0" w:firstRowFirstColumn="0" w:firstRowLastColumn="0" w:lastRowFirstColumn="0" w:lastRowLastColumn="0"/>
              <w:rPr>
                <w:b/>
                <w:bCs/>
                <w:color w:val="4EA72E" w:themeColor="accent6"/>
              </w:rPr>
            </w:pPr>
            <w:r w:rsidRPr="0083279F">
              <w:rPr>
                <w:b/>
                <w:bCs/>
                <w:color w:val="4EA72E" w:themeColor="accent6"/>
              </w:rPr>
              <w:t>$5,686</w:t>
            </w:r>
          </w:p>
        </w:tc>
        <w:tc>
          <w:tcPr>
            <w:tcW w:w="1503" w:type="dxa"/>
          </w:tcPr>
          <w:p w14:paraId="113F8259" w14:textId="7C33D17F" w:rsidR="0083279F" w:rsidRPr="00621973" w:rsidRDefault="0083279F" w:rsidP="0083279F">
            <w:pPr>
              <w:jc w:val="center"/>
              <w:cnfStyle w:val="000000100000" w:firstRow="0" w:lastRow="0" w:firstColumn="0" w:lastColumn="0" w:oddVBand="0" w:evenVBand="0" w:oddHBand="1" w:evenHBand="0" w:firstRowFirstColumn="0" w:firstRowLastColumn="0" w:lastRowFirstColumn="0" w:lastRowLastColumn="0"/>
              <w:rPr>
                <w:b/>
                <w:bCs/>
                <w:color w:val="4EA72E" w:themeColor="accent6"/>
              </w:rPr>
            </w:pPr>
            <w:r w:rsidRPr="0083279F">
              <w:rPr>
                <w:b/>
                <w:bCs/>
                <w:color w:val="4EA72E" w:themeColor="accent6"/>
              </w:rPr>
              <w:t>$5,795</w:t>
            </w:r>
          </w:p>
        </w:tc>
      </w:tr>
    </w:tbl>
    <w:p w14:paraId="56F0F633" w14:textId="77777777" w:rsidR="001F75FE" w:rsidRDefault="001F75FE" w:rsidP="001F75FE"/>
    <w:p w14:paraId="7521D4F2" w14:textId="77777777" w:rsidR="001F75FE" w:rsidRDefault="001F75FE" w:rsidP="001F75FE">
      <w:proofErr w:type="spellStart"/>
      <w:r>
        <w:t>Cotality</w:t>
      </w:r>
      <w:proofErr w:type="spellEnd"/>
      <w:r>
        <w:t xml:space="preserve"> data from 2021-2026 reveals the ten Sydney suburbs that have been hit the hardest by uncontrolled rent increases.</w:t>
      </w:r>
      <w:r>
        <w:rPr>
          <w:rStyle w:val="FootnoteReference"/>
        </w:rPr>
        <w:footnoteReference w:id="10"/>
      </w:r>
      <w:r>
        <w:t xml:space="preserve"> Renters in these suburbs would have been thousands better off per year under a 2% rent cap. </w:t>
      </w:r>
    </w:p>
    <w:tbl>
      <w:tblPr>
        <w:tblStyle w:val="GridTable4-Accent1"/>
        <w:tblW w:w="9218" w:type="dxa"/>
        <w:tblLook w:val="04A0" w:firstRow="1" w:lastRow="0" w:firstColumn="1" w:lastColumn="0" w:noHBand="0" w:noVBand="1"/>
      </w:tblPr>
      <w:tblGrid>
        <w:gridCol w:w="1552"/>
        <w:gridCol w:w="1502"/>
        <w:gridCol w:w="1580"/>
        <w:gridCol w:w="1583"/>
        <w:gridCol w:w="1503"/>
        <w:gridCol w:w="1498"/>
      </w:tblGrid>
      <w:tr w:rsidR="001F75FE" w14:paraId="670EA6A2" w14:textId="77777777" w:rsidTr="007D3F98">
        <w:trPr>
          <w:cnfStyle w:val="100000000000" w:firstRow="1" w:lastRow="0" w:firstColumn="0" w:lastColumn="0" w:oddVBand="0" w:evenVBand="0" w:oddHBand="0" w:evenHBand="0" w:firstRowFirstColumn="0" w:firstRowLastColumn="0" w:lastRowFirstColumn="0" w:lastRowLastColumn="0"/>
          <w:trHeight w:val="1181"/>
        </w:trPr>
        <w:tc>
          <w:tcPr>
            <w:cnfStyle w:val="001000000000" w:firstRow="0" w:lastRow="0" w:firstColumn="1" w:lastColumn="0" w:oddVBand="0" w:evenVBand="0" w:oddHBand="0" w:evenHBand="0" w:firstRowFirstColumn="0" w:firstRowLastColumn="0" w:lastRowFirstColumn="0" w:lastRowLastColumn="0"/>
            <w:tcW w:w="1528" w:type="dxa"/>
          </w:tcPr>
          <w:p w14:paraId="2DF340A0" w14:textId="77777777" w:rsidR="001F75FE" w:rsidRDefault="001F75FE" w:rsidP="007D3F98">
            <w:pPr>
              <w:jc w:val="center"/>
            </w:pPr>
            <w:r>
              <w:t>Suburb</w:t>
            </w:r>
          </w:p>
        </w:tc>
        <w:tc>
          <w:tcPr>
            <w:tcW w:w="1506" w:type="dxa"/>
          </w:tcPr>
          <w:p w14:paraId="68030593" w14:textId="77777777" w:rsidR="001F75FE" w:rsidRDefault="001F75FE" w:rsidP="007D3F98">
            <w:pPr>
              <w:jc w:val="center"/>
              <w:cnfStyle w:val="100000000000" w:firstRow="1" w:lastRow="0" w:firstColumn="0" w:lastColumn="0" w:oddVBand="0" w:evenVBand="0" w:oddHBand="0" w:evenHBand="0" w:firstRowFirstColumn="0" w:firstRowLastColumn="0" w:lastRowFirstColumn="0" w:lastRowLastColumn="0"/>
            </w:pPr>
            <w:r w:rsidRPr="00932FAA">
              <w:t>July 2021</w:t>
            </w:r>
            <w:r>
              <w:t xml:space="preserve"> weekly rent (median)</w:t>
            </w:r>
          </w:p>
        </w:tc>
        <w:tc>
          <w:tcPr>
            <w:tcW w:w="1585" w:type="dxa"/>
          </w:tcPr>
          <w:p w14:paraId="56F9D53B" w14:textId="77777777" w:rsidR="001F75FE" w:rsidRDefault="001F75FE" w:rsidP="007D3F98">
            <w:pPr>
              <w:jc w:val="center"/>
              <w:cnfStyle w:val="100000000000" w:firstRow="1" w:lastRow="0" w:firstColumn="0" w:lastColumn="0" w:oddVBand="0" w:evenVBand="0" w:oddHBand="0" w:evenHBand="0" w:firstRowFirstColumn="0" w:firstRowLastColumn="0" w:lastRowFirstColumn="0" w:lastRowLastColumn="0"/>
            </w:pPr>
            <w:r w:rsidRPr="00932FAA">
              <w:t>Actual</w:t>
            </w:r>
            <w:r>
              <w:t xml:space="preserve"> increase to July 2026</w:t>
            </w:r>
          </w:p>
        </w:tc>
        <w:tc>
          <w:tcPr>
            <w:tcW w:w="1588" w:type="dxa"/>
          </w:tcPr>
          <w:p w14:paraId="497629CD" w14:textId="77777777" w:rsidR="001F75FE" w:rsidRDefault="001F75FE" w:rsidP="007D3F98">
            <w:pPr>
              <w:jc w:val="center"/>
              <w:cnfStyle w:val="100000000000" w:firstRow="1" w:lastRow="0" w:firstColumn="0" w:lastColumn="0" w:oddVBand="0" w:evenVBand="0" w:oddHBand="0" w:evenHBand="0" w:firstRowFirstColumn="0" w:firstRowLastColumn="0" w:lastRowFirstColumn="0" w:lastRowLastColumn="0"/>
            </w:pPr>
            <w:r>
              <w:t>Increase if 2% cap applied (10.4%)</w:t>
            </w:r>
          </w:p>
        </w:tc>
        <w:tc>
          <w:tcPr>
            <w:tcW w:w="1508" w:type="dxa"/>
          </w:tcPr>
          <w:p w14:paraId="552E707E" w14:textId="77777777" w:rsidR="001F75FE" w:rsidRDefault="001F75FE" w:rsidP="007D3F98">
            <w:pPr>
              <w:jc w:val="center"/>
              <w:cnfStyle w:val="100000000000" w:firstRow="1" w:lastRow="0" w:firstColumn="0" w:lastColumn="0" w:oddVBand="0" w:evenVBand="0" w:oddHBand="0" w:evenHBand="0" w:firstRowFirstColumn="0" w:firstRowLastColumn="0" w:lastRowFirstColumn="0" w:lastRowLastColumn="0"/>
            </w:pPr>
            <w:r>
              <w:t>Renter weekly saving in 2026 if 2% cap applied</w:t>
            </w:r>
          </w:p>
        </w:tc>
        <w:tc>
          <w:tcPr>
            <w:tcW w:w="1503" w:type="dxa"/>
          </w:tcPr>
          <w:p w14:paraId="719E7580" w14:textId="77777777" w:rsidR="001F75FE" w:rsidRDefault="001F75FE" w:rsidP="007D3F98">
            <w:pPr>
              <w:jc w:val="center"/>
              <w:cnfStyle w:val="100000000000" w:firstRow="1" w:lastRow="0" w:firstColumn="0" w:lastColumn="0" w:oddVBand="0" w:evenVBand="0" w:oddHBand="0" w:evenHBand="0" w:firstRowFirstColumn="0" w:firstRowLastColumn="0" w:lastRowFirstColumn="0" w:lastRowLastColumn="0"/>
            </w:pPr>
            <w:r>
              <w:t>Renter annual saving if 2% cap applied</w:t>
            </w:r>
          </w:p>
        </w:tc>
      </w:tr>
      <w:tr w:rsidR="001F75FE" w:rsidRPr="00DB09BC" w14:paraId="001DE7CA" w14:textId="77777777" w:rsidTr="007D3F9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528" w:type="dxa"/>
            <w:vAlign w:val="bottom"/>
          </w:tcPr>
          <w:p w14:paraId="381B8DDD" w14:textId="77777777" w:rsidR="001F75FE" w:rsidRPr="00DB09BC" w:rsidRDefault="001F75FE" w:rsidP="007D3F98">
            <w:pPr>
              <w:rPr>
                <w:b w:val="0"/>
                <w:bCs w:val="0"/>
                <w:color w:val="000000"/>
              </w:rPr>
            </w:pPr>
            <w:r w:rsidRPr="000D4499">
              <w:rPr>
                <w:b w:val="0"/>
                <w:bCs w:val="0"/>
                <w:color w:val="000000"/>
              </w:rPr>
              <w:t>Haymarket</w:t>
            </w:r>
          </w:p>
        </w:tc>
        <w:tc>
          <w:tcPr>
            <w:tcW w:w="1506" w:type="dxa"/>
            <w:vAlign w:val="bottom"/>
          </w:tcPr>
          <w:p w14:paraId="141E182D" w14:textId="77777777" w:rsidR="001F75FE" w:rsidRPr="00301663" w:rsidRDefault="001F75FE" w:rsidP="007D3F98">
            <w:pPr>
              <w:jc w:val="center"/>
              <w:cnfStyle w:val="000000100000" w:firstRow="0" w:lastRow="0" w:firstColumn="0" w:lastColumn="0" w:oddVBand="0" w:evenVBand="0" w:oddHBand="1" w:evenHBand="0" w:firstRowFirstColumn="0" w:firstRowLastColumn="0" w:lastRowFirstColumn="0" w:lastRowLastColumn="0"/>
              <w:rPr>
                <w:color w:val="000000"/>
              </w:rPr>
            </w:pPr>
            <w:r w:rsidRPr="00301663">
              <w:rPr>
                <w:color w:val="000000"/>
              </w:rPr>
              <w:t>$724</w:t>
            </w:r>
          </w:p>
        </w:tc>
        <w:tc>
          <w:tcPr>
            <w:tcW w:w="1585" w:type="dxa"/>
            <w:vAlign w:val="bottom"/>
          </w:tcPr>
          <w:p w14:paraId="6192355C" w14:textId="77777777" w:rsidR="001F75FE" w:rsidRPr="00DB09BC" w:rsidRDefault="001F75FE" w:rsidP="007D3F98">
            <w:pPr>
              <w:jc w:val="center"/>
              <w:cnfStyle w:val="000000100000" w:firstRow="0" w:lastRow="0" w:firstColumn="0" w:lastColumn="0" w:oddVBand="0" w:evenVBand="0" w:oddHBand="1" w:evenHBand="0" w:firstRowFirstColumn="0" w:firstRowLastColumn="0" w:lastRowFirstColumn="0" w:lastRowLastColumn="0"/>
              <w:rPr>
                <w:color w:val="000000"/>
              </w:rPr>
            </w:pPr>
            <w:r w:rsidRPr="00301663">
              <w:rPr>
                <w:color w:val="000000"/>
              </w:rPr>
              <w:t>$1,176 (62%)</w:t>
            </w:r>
          </w:p>
        </w:tc>
        <w:tc>
          <w:tcPr>
            <w:tcW w:w="1588" w:type="dxa"/>
            <w:vAlign w:val="bottom"/>
          </w:tcPr>
          <w:p w14:paraId="41160169" w14:textId="77777777" w:rsidR="001F75FE" w:rsidRPr="00DB09BC" w:rsidRDefault="001F75FE" w:rsidP="007D3F98">
            <w:pPr>
              <w:jc w:val="center"/>
              <w:cnfStyle w:val="000000100000" w:firstRow="0" w:lastRow="0" w:firstColumn="0" w:lastColumn="0" w:oddVBand="0" w:evenVBand="0" w:oddHBand="1" w:evenHBand="0" w:firstRowFirstColumn="0" w:firstRowLastColumn="0" w:lastRowFirstColumn="0" w:lastRowLastColumn="0"/>
              <w:rPr>
                <w:color w:val="000000"/>
              </w:rPr>
            </w:pPr>
            <w:r w:rsidRPr="00301663">
              <w:rPr>
                <w:color w:val="000000"/>
              </w:rPr>
              <w:t>$75</w:t>
            </w:r>
          </w:p>
        </w:tc>
        <w:tc>
          <w:tcPr>
            <w:tcW w:w="1508" w:type="dxa"/>
            <w:vAlign w:val="bottom"/>
          </w:tcPr>
          <w:p w14:paraId="0440DDB5" w14:textId="77777777" w:rsidR="001F75FE" w:rsidRPr="000366FF" w:rsidRDefault="001F75FE" w:rsidP="007D3F98">
            <w:pPr>
              <w:jc w:val="center"/>
              <w:cnfStyle w:val="000000100000" w:firstRow="0" w:lastRow="0" w:firstColumn="0" w:lastColumn="0" w:oddVBand="0" w:evenVBand="0" w:oddHBand="1" w:evenHBand="0" w:firstRowFirstColumn="0" w:firstRowLastColumn="0" w:lastRowFirstColumn="0" w:lastRowLastColumn="0"/>
              <w:rPr>
                <w:b/>
                <w:bCs/>
                <w:color w:val="4EA72E" w:themeColor="accent6"/>
              </w:rPr>
            </w:pPr>
            <w:r w:rsidRPr="000366FF">
              <w:rPr>
                <w:b/>
                <w:bCs/>
                <w:color w:val="4EA72E" w:themeColor="accent6"/>
              </w:rPr>
              <w:t>$377</w:t>
            </w:r>
          </w:p>
        </w:tc>
        <w:tc>
          <w:tcPr>
            <w:tcW w:w="1503" w:type="dxa"/>
            <w:vAlign w:val="bottom"/>
          </w:tcPr>
          <w:p w14:paraId="478623F2" w14:textId="77777777" w:rsidR="001F75FE" w:rsidRPr="000366FF" w:rsidRDefault="001F75FE" w:rsidP="007D3F98">
            <w:pPr>
              <w:jc w:val="center"/>
              <w:cnfStyle w:val="000000100000" w:firstRow="0" w:lastRow="0" w:firstColumn="0" w:lastColumn="0" w:oddVBand="0" w:evenVBand="0" w:oddHBand="1" w:evenHBand="0" w:firstRowFirstColumn="0" w:firstRowLastColumn="0" w:lastRowFirstColumn="0" w:lastRowLastColumn="0"/>
              <w:rPr>
                <w:b/>
                <w:bCs/>
                <w:color w:val="4EA72E" w:themeColor="accent6"/>
              </w:rPr>
            </w:pPr>
            <w:r w:rsidRPr="000366FF">
              <w:rPr>
                <w:b/>
                <w:bCs/>
                <w:color w:val="4EA72E" w:themeColor="accent6"/>
              </w:rPr>
              <w:t>$19,587</w:t>
            </w:r>
          </w:p>
        </w:tc>
      </w:tr>
      <w:tr w:rsidR="001F75FE" w:rsidRPr="00DB09BC" w14:paraId="2BE427C3" w14:textId="77777777" w:rsidTr="007D3F98">
        <w:trPr>
          <w:trHeight w:val="287"/>
        </w:trPr>
        <w:tc>
          <w:tcPr>
            <w:cnfStyle w:val="001000000000" w:firstRow="0" w:lastRow="0" w:firstColumn="1" w:lastColumn="0" w:oddVBand="0" w:evenVBand="0" w:oddHBand="0" w:evenHBand="0" w:firstRowFirstColumn="0" w:firstRowLastColumn="0" w:lastRowFirstColumn="0" w:lastRowLastColumn="0"/>
            <w:tcW w:w="1528" w:type="dxa"/>
            <w:vAlign w:val="bottom"/>
          </w:tcPr>
          <w:p w14:paraId="1651E0F0" w14:textId="77777777" w:rsidR="001F75FE" w:rsidRPr="00DB09BC" w:rsidRDefault="001F75FE" w:rsidP="007D3F98">
            <w:pPr>
              <w:rPr>
                <w:b w:val="0"/>
                <w:bCs w:val="0"/>
                <w:color w:val="000000"/>
              </w:rPr>
            </w:pPr>
            <w:r w:rsidRPr="000D4499">
              <w:rPr>
                <w:b w:val="0"/>
                <w:bCs w:val="0"/>
                <w:color w:val="000000"/>
              </w:rPr>
              <w:t>Zetland</w:t>
            </w:r>
          </w:p>
        </w:tc>
        <w:tc>
          <w:tcPr>
            <w:tcW w:w="1506" w:type="dxa"/>
            <w:vAlign w:val="bottom"/>
          </w:tcPr>
          <w:p w14:paraId="5E2F25A3" w14:textId="77777777" w:rsidR="001F75FE" w:rsidRPr="00301663" w:rsidRDefault="001F75FE" w:rsidP="007D3F98">
            <w:pPr>
              <w:jc w:val="center"/>
              <w:cnfStyle w:val="000000000000" w:firstRow="0" w:lastRow="0" w:firstColumn="0" w:lastColumn="0" w:oddVBand="0" w:evenVBand="0" w:oddHBand="0" w:evenHBand="0" w:firstRowFirstColumn="0" w:firstRowLastColumn="0" w:lastRowFirstColumn="0" w:lastRowLastColumn="0"/>
              <w:rPr>
                <w:color w:val="000000"/>
              </w:rPr>
            </w:pPr>
            <w:r w:rsidRPr="00301663">
              <w:rPr>
                <w:color w:val="000000"/>
              </w:rPr>
              <w:t>$676</w:t>
            </w:r>
          </w:p>
        </w:tc>
        <w:tc>
          <w:tcPr>
            <w:tcW w:w="1585" w:type="dxa"/>
            <w:vAlign w:val="bottom"/>
          </w:tcPr>
          <w:p w14:paraId="51C3CD3D" w14:textId="77777777" w:rsidR="001F75FE" w:rsidRPr="00DB09BC" w:rsidRDefault="001F75FE" w:rsidP="007D3F98">
            <w:pPr>
              <w:jc w:val="center"/>
              <w:cnfStyle w:val="000000000000" w:firstRow="0" w:lastRow="0" w:firstColumn="0" w:lastColumn="0" w:oddVBand="0" w:evenVBand="0" w:oddHBand="0" w:evenHBand="0" w:firstRowFirstColumn="0" w:firstRowLastColumn="0" w:lastRowFirstColumn="0" w:lastRowLastColumn="0"/>
              <w:rPr>
                <w:color w:val="000000"/>
              </w:rPr>
            </w:pPr>
            <w:r w:rsidRPr="00301663">
              <w:rPr>
                <w:color w:val="000000"/>
              </w:rPr>
              <w:t>$1,119 (66%)</w:t>
            </w:r>
          </w:p>
        </w:tc>
        <w:tc>
          <w:tcPr>
            <w:tcW w:w="1588" w:type="dxa"/>
            <w:vAlign w:val="bottom"/>
          </w:tcPr>
          <w:p w14:paraId="5FA58635" w14:textId="77777777" w:rsidR="001F75FE" w:rsidRPr="00DB09BC" w:rsidRDefault="001F75FE" w:rsidP="007D3F98">
            <w:pPr>
              <w:jc w:val="center"/>
              <w:cnfStyle w:val="000000000000" w:firstRow="0" w:lastRow="0" w:firstColumn="0" w:lastColumn="0" w:oddVBand="0" w:evenVBand="0" w:oddHBand="0" w:evenHBand="0" w:firstRowFirstColumn="0" w:firstRowLastColumn="0" w:lastRowFirstColumn="0" w:lastRowLastColumn="0"/>
              <w:rPr>
                <w:color w:val="000000"/>
              </w:rPr>
            </w:pPr>
            <w:r w:rsidRPr="00301663">
              <w:rPr>
                <w:color w:val="000000"/>
              </w:rPr>
              <w:t>$70</w:t>
            </w:r>
          </w:p>
        </w:tc>
        <w:tc>
          <w:tcPr>
            <w:tcW w:w="1508" w:type="dxa"/>
            <w:vAlign w:val="bottom"/>
          </w:tcPr>
          <w:p w14:paraId="6C1A926B" w14:textId="77777777" w:rsidR="001F75FE" w:rsidRPr="000366FF" w:rsidRDefault="001F75FE" w:rsidP="007D3F98">
            <w:pPr>
              <w:jc w:val="center"/>
              <w:cnfStyle w:val="000000000000" w:firstRow="0" w:lastRow="0" w:firstColumn="0" w:lastColumn="0" w:oddVBand="0" w:evenVBand="0" w:oddHBand="0" w:evenHBand="0" w:firstRowFirstColumn="0" w:firstRowLastColumn="0" w:lastRowFirstColumn="0" w:lastRowLastColumn="0"/>
              <w:rPr>
                <w:b/>
                <w:bCs/>
                <w:color w:val="4EA72E" w:themeColor="accent6"/>
              </w:rPr>
            </w:pPr>
            <w:r w:rsidRPr="000366FF">
              <w:rPr>
                <w:b/>
                <w:bCs/>
                <w:color w:val="4EA72E" w:themeColor="accent6"/>
              </w:rPr>
              <w:t>$373</w:t>
            </w:r>
          </w:p>
        </w:tc>
        <w:tc>
          <w:tcPr>
            <w:tcW w:w="1503" w:type="dxa"/>
            <w:vAlign w:val="bottom"/>
          </w:tcPr>
          <w:p w14:paraId="526FF3AD" w14:textId="77777777" w:rsidR="001F75FE" w:rsidRPr="000366FF" w:rsidRDefault="001F75FE" w:rsidP="007D3F98">
            <w:pPr>
              <w:jc w:val="center"/>
              <w:cnfStyle w:val="000000000000" w:firstRow="0" w:lastRow="0" w:firstColumn="0" w:lastColumn="0" w:oddVBand="0" w:evenVBand="0" w:oddHBand="0" w:evenHBand="0" w:firstRowFirstColumn="0" w:firstRowLastColumn="0" w:lastRowFirstColumn="0" w:lastRowLastColumn="0"/>
              <w:rPr>
                <w:b/>
                <w:bCs/>
                <w:color w:val="4EA72E" w:themeColor="accent6"/>
              </w:rPr>
            </w:pPr>
            <w:r w:rsidRPr="000366FF">
              <w:rPr>
                <w:b/>
                <w:bCs/>
                <w:color w:val="4EA72E" w:themeColor="accent6"/>
              </w:rPr>
              <w:t>$19,378</w:t>
            </w:r>
          </w:p>
        </w:tc>
      </w:tr>
      <w:tr w:rsidR="001F75FE" w:rsidRPr="00DB09BC" w14:paraId="6BCE8573" w14:textId="77777777" w:rsidTr="007D3F9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528" w:type="dxa"/>
            <w:vAlign w:val="bottom"/>
          </w:tcPr>
          <w:p w14:paraId="6AD63D9A" w14:textId="77777777" w:rsidR="001F75FE" w:rsidRPr="00DB09BC" w:rsidRDefault="001F75FE" w:rsidP="007D3F98">
            <w:pPr>
              <w:rPr>
                <w:b w:val="0"/>
                <w:bCs w:val="0"/>
                <w:color w:val="000000"/>
              </w:rPr>
            </w:pPr>
            <w:r w:rsidRPr="000D4499">
              <w:rPr>
                <w:b w:val="0"/>
                <w:bCs w:val="0"/>
                <w:color w:val="000000"/>
              </w:rPr>
              <w:t>Chippendale</w:t>
            </w:r>
          </w:p>
        </w:tc>
        <w:tc>
          <w:tcPr>
            <w:tcW w:w="1506" w:type="dxa"/>
            <w:vAlign w:val="bottom"/>
          </w:tcPr>
          <w:p w14:paraId="38062E03" w14:textId="77777777" w:rsidR="001F75FE" w:rsidRPr="00301663" w:rsidRDefault="001F75FE" w:rsidP="007D3F98">
            <w:pPr>
              <w:jc w:val="center"/>
              <w:cnfStyle w:val="000000100000" w:firstRow="0" w:lastRow="0" w:firstColumn="0" w:lastColumn="0" w:oddVBand="0" w:evenVBand="0" w:oddHBand="1" w:evenHBand="0" w:firstRowFirstColumn="0" w:firstRowLastColumn="0" w:lastRowFirstColumn="0" w:lastRowLastColumn="0"/>
              <w:rPr>
                <w:color w:val="000000"/>
              </w:rPr>
            </w:pPr>
            <w:r w:rsidRPr="00301663">
              <w:rPr>
                <w:color w:val="000000"/>
              </w:rPr>
              <w:t>$588</w:t>
            </w:r>
          </w:p>
        </w:tc>
        <w:tc>
          <w:tcPr>
            <w:tcW w:w="1585" w:type="dxa"/>
            <w:vAlign w:val="bottom"/>
          </w:tcPr>
          <w:p w14:paraId="602006AC" w14:textId="77777777" w:rsidR="001F75FE" w:rsidRPr="00DB09BC" w:rsidRDefault="001F75FE" w:rsidP="007D3F98">
            <w:pPr>
              <w:jc w:val="center"/>
              <w:cnfStyle w:val="000000100000" w:firstRow="0" w:lastRow="0" w:firstColumn="0" w:lastColumn="0" w:oddVBand="0" w:evenVBand="0" w:oddHBand="1" w:evenHBand="0" w:firstRowFirstColumn="0" w:firstRowLastColumn="0" w:lastRowFirstColumn="0" w:lastRowLastColumn="0"/>
              <w:rPr>
                <w:color w:val="000000"/>
              </w:rPr>
            </w:pPr>
            <w:r w:rsidRPr="00301663">
              <w:rPr>
                <w:color w:val="000000"/>
              </w:rPr>
              <w:t>$956 (63%)</w:t>
            </w:r>
          </w:p>
        </w:tc>
        <w:tc>
          <w:tcPr>
            <w:tcW w:w="1588" w:type="dxa"/>
            <w:vAlign w:val="bottom"/>
          </w:tcPr>
          <w:p w14:paraId="47ACEFAB" w14:textId="77777777" w:rsidR="001F75FE" w:rsidRPr="00DB09BC" w:rsidRDefault="001F75FE" w:rsidP="007D3F98">
            <w:pPr>
              <w:jc w:val="center"/>
              <w:cnfStyle w:val="000000100000" w:firstRow="0" w:lastRow="0" w:firstColumn="0" w:lastColumn="0" w:oddVBand="0" w:evenVBand="0" w:oddHBand="1" w:evenHBand="0" w:firstRowFirstColumn="0" w:firstRowLastColumn="0" w:lastRowFirstColumn="0" w:lastRowLastColumn="0"/>
              <w:rPr>
                <w:color w:val="000000"/>
              </w:rPr>
            </w:pPr>
            <w:r w:rsidRPr="00301663">
              <w:rPr>
                <w:color w:val="000000"/>
              </w:rPr>
              <w:t>$61</w:t>
            </w:r>
          </w:p>
        </w:tc>
        <w:tc>
          <w:tcPr>
            <w:tcW w:w="1508" w:type="dxa"/>
            <w:vAlign w:val="bottom"/>
          </w:tcPr>
          <w:p w14:paraId="50733E46" w14:textId="77777777" w:rsidR="001F75FE" w:rsidRPr="000366FF" w:rsidRDefault="001F75FE" w:rsidP="007D3F98">
            <w:pPr>
              <w:jc w:val="center"/>
              <w:cnfStyle w:val="000000100000" w:firstRow="0" w:lastRow="0" w:firstColumn="0" w:lastColumn="0" w:oddVBand="0" w:evenVBand="0" w:oddHBand="1" w:evenHBand="0" w:firstRowFirstColumn="0" w:firstRowLastColumn="0" w:lastRowFirstColumn="0" w:lastRowLastColumn="0"/>
              <w:rPr>
                <w:b/>
                <w:bCs/>
                <w:color w:val="4EA72E" w:themeColor="accent6"/>
              </w:rPr>
            </w:pPr>
            <w:r w:rsidRPr="000366FF">
              <w:rPr>
                <w:b/>
                <w:bCs/>
                <w:color w:val="4EA72E" w:themeColor="accent6"/>
              </w:rPr>
              <w:t>$307</w:t>
            </w:r>
          </w:p>
        </w:tc>
        <w:tc>
          <w:tcPr>
            <w:tcW w:w="1503" w:type="dxa"/>
            <w:vAlign w:val="bottom"/>
          </w:tcPr>
          <w:p w14:paraId="7028E462" w14:textId="77777777" w:rsidR="001F75FE" w:rsidRPr="000366FF" w:rsidRDefault="001F75FE" w:rsidP="007D3F98">
            <w:pPr>
              <w:jc w:val="center"/>
              <w:cnfStyle w:val="000000100000" w:firstRow="0" w:lastRow="0" w:firstColumn="0" w:lastColumn="0" w:oddVBand="0" w:evenVBand="0" w:oddHBand="1" w:evenHBand="0" w:firstRowFirstColumn="0" w:firstRowLastColumn="0" w:lastRowFirstColumn="0" w:lastRowLastColumn="0"/>
              <w:rPr>
                <w:b/>
                <w:bCs/>
                <w:color w:val="4EA72E" w:themeColor="accent6"/>
              </w:rPr>
            </w:pPr>
            <w:r w:rsidRPr="000366FF">
              <w:rPr>
                <w:b/>
                <w:bCs/>
                <w:color w:val="4EA72E" w:themeColor="accent6"/>
              </w:rPr>
              <w:t>$15,957</w:t>
            </w:r>
          </w:p>
        </w:tc>
      </w:tr>
      <w:tr w:rsidR="001F75FE" w:rsidRPr="00DB09BC" w14:paraId="0F0525EB" w14:textId="77777777" w:rsidTr="007D3F98">
        <w:trPr>
          <w:trHeight w:val="287"/>
        </w:trPr>
        <w:tc>
          <w:tcPr>
            <w:cnfStyle w:val="001000000000" w:firstRow="0" w:lastRow="0" w:firstColumn="1" w:lastColumn="0" w:oddVBand="0" w:evenVBand="0" w:oddHBand="0" w:evenHBand="0" w:firstRowFirstColumn="0" w:firstRowLastColumn="0" w:lastRowFirstColumn="0" w:lastRowLastColumn="0"/>
            <w:tcW w:w="1528" w:type="dxa"/>
          </w:tcPr>
          <w:p w14:paraId="6CE284BC" w14:textId="77777777" w:rsidR="001F75FE" w:rsidRPr="000D4499" w:rsidRDefault="001F75FE" w:rsidP="007D3F98">
            <w:pPr>
              <w:rPr>
                <w:b w:val="0"/>
                <w:bCs w:val="0"/>
                <w:color w:val="000000"/>
              </w:rPr>
            </w:pPr>
            <w:r w:rsidRPr="00DB09BC">
              <w:rPr>
                <w:b w:val="0"/>
                <w:bCs w:val="0"/>
                <w:color w:val="000000"/>
              </w:rPr>
              <w:t>Wolli Creek</w:t>
            </w:r>
          </w:p>
        </w:tc>
        <w:tc>
          <w:tcPr>
            <w:tcW w:w="1506" w:type="dxa"/>
          </w:tcPr>
          <w:p w14:paraId="490B1928" w14:textId="77777777" w:rsidR="001F75FE" w:rsidRPr="00DB09BC"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DB09BC">
              <w:t>$578</w:t>
            </w:r>
          </w:p>
        </w:tc>
        <w:tc>
          <w:tcPr>
            <w:tcW w:w="1585" w:type="dxa"/>
            <w:vAlign w:val="bottom"/>
          </w:tcPr>
          <w:p w14:paraId="49D0ECEC" w14:textId="77777777" w:rsidR="001F75FE" w:rsidRPr="00DB09BC"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DB09BC">
              <w:rPr>
                <w:color w:val="000000"/>
              </w:rPr>
              <w:t>$349 (60%)</w:t>
            </w:r>
          </w:p>
        </w:tc>
        <w:tc>
          <w:tcPr>
            <w:tcW w:w="1588" w:type="dxa"/>
            <w:vAlign w:val="bottom"/>
          </w:tcPr>
          <w:p w14:paraId="6F1DE7F5" w14:textId="77777777" w:rsidR="001F75FE" w:rsidRPr="00DB09BC"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DB09BC">
              <w:rPr>
                <w:color w:val="000000"/>
              </w:rPr>
              <w:t>$60</w:t>
            </w:r>
          </w:p>
        </w:tc>
        <w:tc>
          <w:tcPr>
            <w:tcW w:w="1508" w:type="dxa"/>
            <w:vAlign w:val="bottom"/>
          </w:tcPr>
          <w:p w14:paraId="6958941E" w14:textId="77777777" w:rsidR="001F75FE" w:rsidRPr="000366FF" w:rsidRDefault="001F75FE" w:rsidP="007D3F98">
            <w:pPr>
              <w:jc w:val="center"/>
              <w:cnfStyle w:val="000000000000" w:firstRow="0" w:lastRow="0" w:firstColumn="0" w:lastColumn="0" w:oddVBand="0" w:evenVBand="0" w:oddHBand="0" w:evenHBand="0" w:firstRowFirstColumn="0" w:firstRowLastColumn="0" w:lastRowFirstColumn="0" w:lastRowLastColumn="0"/>
              <w:rPr>
                <w:color w:val="4EA72E" w:themeColor="accent6"/>
              </w:rPr>
            </w:pPr>
            <w:r w:rsidRPr="000366FF">
              <w:rPr>
                <w:b/>
                <w:bCs/>
                <w:color w:val="4EA72E" w:themeColor="accent6"/>
              </w:rPr>
              <w:t>$289</w:t>
            </w:r>
          </w:p>
        </w:tc>
        <w:tc>
          <w:tcPr>
            <w:tcW w:w="1503" w:type="dxa"/>
            <w:vAlign w:val="bottom"/>
          </w:tcPr>
          <w:p w14:paraId="06373551" w14:textId="77777777" w:rsidR="001F75FE" w:rsidRPr="000366FF" w:rsidRDefault="001F75FE" w:rsidP="007D3F98">
            <w:pPr>
              <w:jc w:val="center"/>
              <w:cnfStyle w:val="000000000000" w:firstRow="0" w:lastRow="0" w:firstColumn="0" w:lastColumn="0" w:oddVBand="0" w:evenVBand="0" w:oddHBand="0" w:evenHBand="0" w:firstRowFirstColumn="0" w:firstRowLastColumn="0" w:lastRowFirstColumn="0" w:lastRowLastColumn="0"/>
              <w:rPr>
                <w:color w:val="4EA72E" w:themeColor="accent6"/>
              </w:rPr>
            </w:pPr>
            <w:r w:rsidRPr="000366FF">
              <w:rPr>
                <w:b/>
                <w:bCs/>
                <w:color w:val="4EA72E" w:themeColor="accent6"/>
              </w:rPr>
              <w:t>$15,023</w:t>
            </w:r>
          </w:p>
        </w:tc>
      </w:tr>
      <w:tr w:rsidR="001F75FE" w:rsidRPr="00DB09BC" w14:paraId="6EAEBCF9" w14:textId="77777777" w:rsidTr="007D3F9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528" w:type="dxa"/>
          </w:tcPr>
          <w:p w14:paraId="538C5268" w14:textId="77777777" w:rsidR="001F75FE" w:rsidRPr="000D4499" w:rsidRDefault="001F75FE" w:rsidP="007D3F98">
            <w:pPr>
              <w:rPr>
                <w:b w:val="0"/>
                <w:bCs w:val="0"/>
                <w:color w:val="000000"/>
              </w:rPr>
            </w:pPr>
            <w:r w:rsidRPr="00DB09BC">
              <w:rPr>
                <w:b w:val="0"/>
                <w:bCs w:val="0"/>
                <w:color w:val="000000"/>
              </w:rPr>
              <w:t>Rockdale</w:t>
            </w:r>
          </w:p>
        </w:tc>
        <w:tc>
          <w:tcPr>
            <w:tcW w:w="1506" w:type="dxa"/>
          </w:tcPr>
          <w:p w14:paraId="494235CC" w14:textId="77777777" w:rsidR="001F75FE" w:rsidRPr="00DB09BC"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DB09BC">
              <w:t>$512</w:t>
            </w:r>
          </w:p>
        </w:tc>
        <w:tc>
          <w:tcPr>
            <w:tcW w:w="1585" w:type="dxa"/>
            <w:vAlign w:val="bottom"/>
          </w:tcPr>
          <w:p w14:paraId="0C16C108" w14:textId="77777777" w:rsidR="001F75FE" w:rsidRPr="00DB09BC"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DB09BC">
              <w:rPr>
                <w:color w:val="000000"/>
              </w:rPr>
              <w:t>$305 (60%)</w:t>
            </w:r>
          </w:p>
        </w:tc>
        <w:tc>
          <w:tcPr>
            <w:tcW w:w="1588" w:type="dxa"/>
            <w:vAlign w:val="bottom"/>
          </w:tcPr>
          <w:p w14:paraId="5FF8154A" w14:textId="77777777" w:rsidR="001F75FE" w:rsidRPr="00DB09BC"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DB09BC">
              <w:rPr>
                <w:color w:val="000000"/>
              </w:rPr>
              <w:t>$53</w:t>
            </w:r>
          </w:p>
        </w:tc>
        <w:tc>
          <w:tcPr>
            <w:tcW w:w="1508" w:type="dxa"/>
            <w:vAlign w:val="bottom"/>
          </w:tcPr>
          <w:p w14:paraId="4B55995D" w14:textId="77777777" w:rsidR="001F75FE" w:rsidRPr="000366FF" w:rsidRDefault="001F75FE" w:rsidP="007D3F98">
            <w:pPr>
              <w:jc w:val="center"/>
              <w:cnfStyle w:val="000000100000" w:firstRow="0" w:lastRow="0" w:firstColumn="0" w:lastColumn="0" w:oddVBand="0" w:evenVBand="0" w:oddHBand="1" w:evenHBand="0" w:firstRowFirstColumn="0" w:firstRowLastColumn="0" w:lastRowFirstColumn="0" w:lastRowLastColumn="0"/>
              <w:rPr>
                <w:color w:val="4EA72E" w:themeColor="accent6"/>
              </w:rPr>
            </w:pPr>
            <w:r w:rsidRPr="000366FF">
              <w:rPr>
                <w:b/>
                <w:bCs/>
                <w:color w:val="4EA72E" w:themeColor="accent6"/>
              </w:rPr>
              <w:t>$252</w:t>
            </w:r>
          </w:p>
        </w:tc>
        <w:tc>
          <w:tcPr>
            <w:tcW w:w="1503" w:type="dxa"/>
            <w:vAlign w:val="bottom"/>
          </w:tcPr>
          <w:p w14:paraId="2DE96AB0" w14:textId="77777777" w:rsidR="001F75FE" w:rsidRPr="000366FF" w:rsidRDefault="001F75FE" w:rsidP="007D3F98">
            <w:pPr>
              <w:jc w:val="center"/>
              <w:cnfStyle w:val="000000100000" w:firstRow="0" w:lastRow="0" w:firstColumn="0" w:lastColumn="0" w:oddVBand="0" w:evenVBand="0" w:oddHBand="1" w:evenHBand="0" w:firstRowFirstColumn="0" w:firstRowLastColumn="0" w:lastRowFirstColumn="0" w:lastRowLastColumn="0"/>
              <w:rPr>
                <w:color w:val="4EA72E" w:themeColor="accent6"/>
              </w:rPr>
            </w:pPr>
            <w:r w:rsidRPr="000366FF">
              <w:rPr>
                <w:b/>
                <w:bCs/>
                <w:color w:val="4EA72E" w:themeColor="accent6"/>
              </w:rPr>
              <w:t>$13,092</w:t>
            </w:r>
          </w:p>
        </w:tc>
      </w:tr>
      <w:tr w:rsidR="001F75FE" w:rsidRPr="00DB09BC" w14:paraId="5E7F5250" w14:textId="77777777" w:rsidTr="007D3F98">
        <w:trPr>
          <w:trHeight w:val="287"/>
        </w:trPr>
        <w:tc>
          <w:tcPr>
            <w:cnfStyle w:val="001000000000" w:firstRow="0" w:lastRow="0" w:firstColumn="1" w:lastColumn="0" w:oddVBand="0" w:evenVBand="0" w:oddHBand="0" w:evenHBand="0" w:firstRowFirstColumn="0" w:firstRowLastColumn="0" w:lastRowFirstColumn="0" w:lastRowLastColumn="0"/>
            <w:tcW w:w="1528" w:type="dxa"/>
            <w:vAlign w:val="bottom"/>
          </w:tcPr>
          <w:p w14:paraId="409490E5" w14:textId="77777777" w:rsidR="001F75FE" w:rsidRPr="00DB09BC" w:rsidRDefault="001F75FE" w:rsidP="007D3F98">
            <w:pPr>
              <w:rPr>
                <w:b w:val="0"/>
                <w:bCs w:val="0"/>
                <w:color w:val="000000"/>
              </w:rPr>
            </w:pPr>
            <w:r w:rsidRPr="000D4499">
              <w:rPr>
                <w:b w:val="0"/>
                <w:bCs w:val="0"/>
                <w:color w:val="000000"/>
              </w:rPr>
              <w:t>Hillsdale</w:t>
            </w:r>
          </w:p>
        </w:tc>
        <w:tc>
          <w:tcPr>
            <w:tcW w:w="1506" w:type="dxa"/>
            <w:vAlign w:val="bottom"/>
          </w:tcPr>
          <w:p w14:paraId="1E878586" w14:textId="77777777" w:rsidR="001F75FE" w:rsidRPr="00301663" w:rsidRDefault="001F75FE" w:rsidP="007D3F98">
            <w:pPr>
              <w:jc w:val="center"/>
              <w:cnfStyle w:val="000000000000" w:firstRow="0" w:lastRow="0" w:firstColumn="0" w:lastColumn="0" w:oddVBand="0" w:evenVBand="0" w:oddHBand="0" w:evenHBand="0" w:firstRowFirstColumn="0" w:firstRowLastColumn="0" w:lastRowFirstColumn="0" w:lastRowLastColumn="0"/>
              <w:rPr>
                <w:color w:val="000000"/>
              </w:rPr>
            </w:pPr>
            <w:r w:rsidRPr="00301663">
              <w:rPr>
                <w:color w:val="000000"/>
              </w:rPr>
              <w:t>$477</w:t>
            </w:r>
          </w:p>
        </w:tc>
        <w:tc>
          <w:tcPr>
            <w:tcW w:w="1585" w:type="dxa"/>
            <w:vAlign w:val="bottom"/>
          </w:tcPr>
          <w:p w14:paraId="501A2179" w14:textId="77777777" w:rsidR="001F75FE" w:rsidRPr="00DB09BC" w:rsidRDefault="001F75FE" w:rsidP="007D3F98">
            <w:pPr>
              <w:jc w:val="center"/>
              <w:cnfStyle w:val="000000000000" w:firstRow="0" w:lastRow="0" w:firstColumn="0" w:lastColumn="0" w:oddVBand="0" w:evenVBand="0" w:oddHBand="0" w:evenHBand="0" w:firstRowFirstColumn="0" w:firstRowLastColumn="0" w:lastRowFirstColumn="0" w:lastRowLastColumn="0"/>
              <w:rPr>
                <w:color w:val="000000"/>
              </w:rPr>
            </w:pPr>
            <w:r w:rsidRPr="00301663">
              <w:rPr>
                <w:color w:val="000000"/>
              </w:rPr>
              <w:t>$770 (61%)</w:t>
            </w:r>
          </w:p>
        </w:tc>
        <w:tc>
          <w:tcPr>
            <w:tcW w:w="1588" w:type="dxa"/>
            <w:vAlign w:val="bottom"/>
          </w:tcPr>
          <w:p w14:paraId="1582F6DA" w14:textId="77777777" w:rsidR="001F75FE" w:rsidRPr="00DB09BC" w:rsidRDefault="001F75FE" w:rsidP="007D3F98">
            <w:pPr>
              <w:jc w:val="center"/>
              <w:cnfStyle w:val="000000000000" w:firstRow="0" w:lastRow="0" w:firstColumn="0" w:lastColumn="0" w:oddVBand="0" w:evenVBand="0" w:oddHBand="0" w:evenHBand="0" w:firstRowFirstColumn="0" w:firstRowLastColumn="0" w:lastRowFirstColumn="0" w:lastRowLastColumn="0"/>
              <w:rPr>
                <w:color w:val="000000"/>
              </w:rPr>
            </w:pPr>
            <w:r w:rsidRPr="00301663">
              <w:rPr>
                <w:color w:val="000000"/>
              </w:rPr>
              <w:t>$50</w:t>
            </w:r>
          </w:p>
        </w:tc>
        <w:tc>
          <w:tcPr>
            <w:tcW w:w="1508" w:type="dxa"/>
            <w:vAlign w:val="bottom"/>
          </w:tcPr>
          <w:p w14:paraId="5C44BF24" w14:textId="77777777" w:rsidR="001F75FE" w:rsidRPr="000366FF" w:rsidRDefault="001F75FE" w:rsidP="007D3F98">
            <w:pPr>
              <w:jc w:val="center"/>
              <w:cnfStyle w:val="000000000000" w:firstRow="0" w:lastRow="0" w:firstColumn="0" w:lastColumn="0" w:oddVBand="0" w:evenVBand="0" w:oddHBand="0" w:evenHBand="0" w:firstRowFirstColumn="0" w:firstRowLastColumn="0" w:lastRowFirstColumn="0" w:lastRowLastColumn="0"/>
              <w:rPr>
                <w:b/>
                <w:bCs/>
                <w:color w:val="4EA72E" w:themeColor="accent6"/>
              </w:rPr>
            </w:pPr>
            <w:r w:rsidRPr="000366FF">
              <w:rPr>
                <w:b/>
                <w:bCs/>
                <w:color w:val="4EA72E" w:themeColor="accent6"/>
              </w:rPr>
              <w:t>$243</w:t>
            </w:r>
          </w:p>
        </w:tc>
        <w:tc>
          <w:tcPr>
            <w:tcW w:w="1503" w:type="dxa"/>
            <w:vAlign w:val="bottom"/>
          </w:tcPr>
          <w:p w14:paraId="5465BFE3" w14:textId="77777777" w:rsidR="001F75FE" w:rsidRPr="000366FF" w:rsidRDefault="001F75FE" w:rsidP="007D3F98">
            <w:pPr>
              <w:jc w:val="center"/>
              <w:cnfStyle w:val="000000000000" w:firstRow="0" w:lastRow="0" w:firstColumn="0" w:lastColumn="0" w:oddVBand="0" w:evenVBand="0" w:oddHBand="0" w:evenHBand="0" w:firstRowFirstColumn="0" w:firstRowLastColumn="0" w:lastRowFirstColumn="0" w:lastRowLastColumn="0"/>
              <w:rPr>
                <w:b/>
                <w:bCs/>
                <w:color w:val="4EA72E" w:themeColor="accent6"/>
              </w:rPr>
            </w:pPr>
            <w:r w:rsidRPr="000366FF">
              <w:rPr>
                <w:b/>
                <w:bCs/>
                <w:color w:val="4EA72E" w:themeColor="accent6"/>
              </w:rPr>
              <w:t>$12,655</w:t>
            </w:r>
          </w:p>
        </w:tc>
      </w:tr>
      <w:tr w:rsidR="001F75FE" w:rsidRPr="00DB09BC" w14:paraId="49450FD8" w14:textId="77777777" w:rsidTr="007D3F9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528" w:type="dxa"/>
          </w:tcPr>
          <w:p w14:paraId="5585A1A6" w14:textId="77777777" w:rsidR="001F75FE" w:rsidRPr="000D4499" w:rsidRDefault="001F75FE" w:rsidP="007D3F98">
            <w:pPr>
              <w:rPr>
                <w:b w:val="0"/>
                <w:bCs w:val="0"/>
                <w:color w:val="000000"/>
              </w:rPr>
            </w:pPr>
            <w:r w:rsidRPr="00DB09BC">
              <w:rPr>
                <w:b w:val="0"/>
                <w:bCs w:val="0"/>
                <w:color w:val="000000"/>
              </w:rPr>
              <w:t>Allawah</w:t>
            </w:r>
          </w:p>
        </w:tc>
        <w:tc>
          <w:tcPr>
            <w:tcW w:w="1506" w:type="dxa"/>
          </w:tcPr>
          <w:p w14:paraId="02974E4D" w14:textId="77777777" w:rsidR="001F75FE" w:rsidRPr="00DB09BC"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DB09BC">
              <w:t>$448</w:t>
            </w:r>
          </w:p>
        </w:tc>
        <w:tc>
          <w:tcPr>
            <w:tcW w:w="1585" w:type="dxa"/>
            <w:vAlign w:val="bottom"/>
          </w:tcPr>
          <w:p w14:paraId="01A39028" w14:textId="77777777" w:rsidR="001F75FE" w:rsidRPr="00DB09BC"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DB09BC">
              <w:rPr>
                <w:color w:val="000000"/>
              </w:rPr>
              <w:t>$285 (64%)</w:t>
            </w:r>
          </w:p>
        </w:tc>
        <w:tc>
          <w:tcPr>
            <w:tcW w:w="1588" w:type="dxa"/>
            <w:vAlign w:val="bottom"/>
          </w:tcPr>
          <w:p w14:paraId="7ADDFA23" w14:textId="77777777" w:rsidR="001F75FE" w:rsidRPr="00DB09BC"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DB09BC">
              <w:rPr>
                <w:color w:val="000000"/>
              </w:rPr>
              <w:t>$47</w:t>
            </w:r>
          </w:p>
        </w:tc>
        <w:tc>
          <w:tcPr>
            <w:tcW w:w="1508" w:type="dxa"/>
            <w:vAlign w:val="bottom"/>
          </w:tcPr>
          <w:p w14:paraId="30D21CFA" w14:textId="77777777" w:rsidR="001F75FE" w:rsidRPr="000366FF" w:rsidRDefault="001F75FE" w:rsidP="007D3F98">
            <w:pPr>
              <w:jc w:val="center"/>
              <w:cnfStyle w:val="000000100000" w:firstRow="0" w:lastRow="0" w:firstColumn="0" w:lastColumn="0" w:oddVBand="0" w:evenVBand="0" w:oddHBand="1" w:evenHBand="0" w:firstRowFirstColumn="0" w:firstRowLastColumn="0" w:lastRowFirstColumn="0" w:lastRowLastColumn="0"/>
              <w:rPr>
                <w:color w:val="4EA72E" w:themeColor="accent6"/>
              </w:rPr>
            </w:pPr>
            <w:r w:rsidRPr="000366FF">
              <w:rPr>
                <w:b/>
                <w:bCs/>
                <w:color w:val="4EA72E" w:themeColor="accent6"/>
              </w:rPr>
              <w:t>$238</w:t>
            </w:r>
          </w:p>
        </w:tc>
        <w:tc>
          <w:tcPr>
            <w:tcW w:w="1503" w:type="dxa"/>
            <w:vAlign w:val="bottom"/>
          </w:tcPr>
          <w:p w14:paraId="07AE6AD5" w14:textId="77777777" w:rsidR="001F75FE" w:rsidRPr="000366FF" w:rsidRDefault="001F75FE" w:rsidP="007D3F98">
            <w:pPr>
              <w:jc w:val="center"/>
              <w:cnfStyle w:val="000000100000" w:firstRow="0" w:lastRow="0" w:firstColumn="0" w:lastColumn="0" w:oddVBand="0" w:evenVBand="0" w:oddHBand="1" w:evenHBand="0" w:firstRowFirstColumn="0" w:firstRowLastColumn="0" w:lastRowFirstColumn="0" w:lastRowLastColumn="0"/>
              <w:rPr>
                <w:color w:val="4EA72E" w:themeColor="accent6"/>
              </w:rPr>
            </w:pPr>
            <w:r w:rsidRPr="000366FF">
              <w:rPr>
                <w:b/>
                <w:bCs/>
                <w:color w:val="4EA72E" w:themeColor="accent6"/>
              </w:rPr>
              <w:t>$12,397</w:t>
            </w:r>
          </w:p>
        </w:tc>
      </w:tr>
      <w:tr w:rsidR="001F75FE" w:rsidRPr="00DB09BC" w14:paraId="309DAD70" w14:textId="77777777" w:rsidTr="007D3F98">
        <w:trPr>
          <w:trHeight w:val="302"/>
        </w:trPr>
        <w:tc>
          <w:tcPr>
            <w:cnfStyle w:val="001000000000" w:firstRow="0" w:lastRow="0" w:firstColumn="1" w:lastColumn="0" w:oddVBand="0" w:evenVBand="0" w:oddHBand="0" w:evenHBand="0" w:firstRowFirstColumn="0" w:firstRowLastColumn="0" w:lastRowFirstColumn="0" w:lastRowLastColumn="0"/>
            <w:tcW w:w="1528" w:type="dxa"/>
          </w:tcPr>
          <w:p w14:paraId="797DC096" w14:textId="77777777" w:rsidR="001F75FE" w:rsidRPr="000D4499" w:rsidRDefault="001F75FE" w:rsidP="007D3F98">
            <w:pPr>
              <w:rPr>
                <w:b w:val="0"/>
                <w:bCs w:val="0"/>
                <w:color w:val="000000"/>
              </w:rPr>
            </w:pPr>
            <w:r w:rsidRPr="00DB09BC">
              <w:rPr>
                <w:b w:val="0"/>
                <w:bCs w:val="0"/>
                <w:color w:val="000000"/>
              </w:rPr>
              <w:t>Harris Park</w:t>
            </w:r>
          </w:p>
        </w:tc>
        <w:tc>
          <w:tcPr>
            <w:tcW w:w="1506" w:type="dxa"/>
          </w:tcPr>
          <w:p w14:paraId="685222A4" w14:textId="77777777" w:rsidR="001F75FE" w:rsidRPr="00DB09BC"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DB09BC">
              <w:t>$374</w:t>
            </w:r>
          </w:p>
        </w:tc>
        <w:tc>
          <w:tcPr>
            <w:tcW w:w="1585" w:type="dxa"/>
            <w:vAlign w:val="bottom"/>
          </w:tcPr>
          <w:p w14:paraId="3207DA00" w14:textId="77777777" w:rsidR="001F75FE" w:rsidRPr="00DB09BC"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DB09BC">
              <w:rPr>
                <w:color w:val="000000"/>
              </w:rPr>
              <w:t>$229 (61%)</w:t>
            </w:r>
          </w:p>
        </w:tc>
        <w:tc>
          <w:tcPr>
            <w:tcW w:w="1588" w:type="dxa"/>
            <w:vAlign w:val="bottom"/>
          </w:tcPr>
          <w:p w14:paraId="72430578" w14:textId="77777777" w:rsidR="001F75FE" w:rsidRPr="00DB09BC"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DB09BC">
              <w:rPr>
                <w:color w:val="000000"/>
              </w:rPr>
              <w:t>$39</w:t>
            </w:r>
          </w:p>
        </w:tc>
        <w:tc>
          <w:tcPr>
            <w:tcW w:w="1508" w:type="dxa"/>
            <w:vAlign w:val="bottom"/>
          </w:tcPr>
          <w:p w14:paraId="1035B3C6" w14:textId="77777777" w:rsidR="001F75FE" w:rsidRPr="000366FF" w:rsidRDefault="001F75FE" w:rsidP="007D3F98">
            <w:pPr>
              <w:jc w:val="center"/>
              <w:cnfStyle w:val="000000000000" w:firstRow="0" w:lastRow="0" w:firstColumn="0" w:lastColumn="0" w:oddVBand="0" w:evenVBand="0" w:oddHBand="0" w:evenHBand="0" w:firstRowFirstColumn="0" w:firstRowLastColumn="0" w:lastRowFirstColumn="0" w:lastRowLastColumn="0"/>
              <w:rPr>
                <w:color w:val="4EA72E" w:themeColor="accent6"/>
              </w:rPr>
            </w:pPr>
            <w:r w:rsidRPr="000366FF">
              <w:rPr>
                <w:b/>
                <w:bCs/>
                <w:color w:val="4EA72E" w:themeColor="accent6"/>
              </w:rPr>
              <w:t>$190</w:t>
            </w:r>
          </w:p>
        </w:tc>
        <w:tc>
          <w:tcPr>
            <w:tcW w:w="1503" w:type="dxa"/>
            <w:vAlign w:val="bottom"/>
          </w:tcPr>
          <w:p w14:paraId="773E6B0C" w14:textId="77777777" w:rsidR="001F75FE" w:rsidRPr="000366FF" w:rsidRDefault="001F75FE" w:rsidP="007D3F98">
            <w:pPr>
              <w:jc w:val="center"/>
              <w:cnfStyle w:val="000000000000" w:firstRow="0" w:lastRow="0" w:firstColumn="0" w:lastColumn="0" w:oddVBand="0" w:evenVBand="0" w:oddHBand="0" w:evenHBand="0" w:firstRowFirstColumn="0" w:firstRowLastColumn="0" w:lastRowFirstColumn="0" w:lastRowLastColumn="0"/>
              <w:rPr>
                <w:color w:val="4EA72E" w:themeColor="accent6"/>
              </w:rPr>
            </w:pPr>
            <w:r w:rsidRPr="000366FF">
              <w:rPr>
                <w:b/>
                <w:bCs/>
                <w:color w:val="4EA72E" w:themeColor="accent6"/>
              </w:rPr>
              <w:t>$9,884</w:t>
            </w:r>
          </w:p>
        </w:tc>
      </w:tr>
      <w:tr w:rsidR="001F75FE" w:rsidRPr="00DB09BC" w14:paraId="1CEB4D64" w14:textId="77777777" w:rsidTr="007D3F98">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528" w:type="dxa"/>
          </w:tcPr>
          <w:p w14:paraId="2C1361C1" w14:textId="77777777" w:rsidR="001F75FE" w:rsidRPr="000D4499" w:rsidRDefault="001F75FE" w:rsidP="007D3F98">
            <w:pPr>
              <w:rPr>
                <w:b w:val="0"/>
                <w:bCs w:val="0"/>
                <w:color w:val="000000"/>
              </w:rPr>
            </w:pPr>
            <w:r w:rsidRPr="00DB09BC">
              <w:rPr>
                <w:b w:val="0"/>
                <w:bCs w:val="0"/>
                <w:color w:val="000000"/>
              </w:rPr>
              <w:t>Lakemba</w:t>
            </w:r>
          </w:p>
        </w:tc>
        <w:tc>
          <w:tcPr>
            <w:tcW w:w="1506" w:type="dxa"/>
          </w:tcPr>
          <w:p w14:paraId="7E99E833" w14:textId="77777777" w:rsidR="001F75FE" w:rsidRPr="00DB09BC"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DB09BC">
              <w:t>$362</w:t>
            </w:r>
          </w:p>
        </w:tc>
        <w:tc>
          <w:tcPr>
            <w:tcW w:w="1585" w:type="dxa"/>
            <w:vAlign w:val="bottom"/>
          </w:tcPr>
          <w:p w14:paraId="716DEA7B" w14:textId="77777777" w:rsidR="001F75FE" w:rsidRPr="00DB09BC"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DB09BC">
              <w:rPr>
                <w:color w:val="000000"/>
              </w:rPr>
              <w:t>$220 (61%)</w:t>
            </w:r>
          </w:p>
        </w:tc>
        <w:tc>
          <w:tcPr>
            <w:tcW w:w="1588" w:type="dxa"/>
            <w:vAlign w:val="bottom"/>
          </w:tcPr>
          <w:p w14:paraId="20C95790" w14:textId="77777777" w:rsidR="001F75FE" w:rsidRPr="00DB09BC" w:rsidRDefault="001F75FE" w:rsidP="007D3F98">
            <w:pPr>
              <w:jc w:val="center"/>
              <w:cnfStyle w:val="000000100000" w:firstRow="0" w:lastRow="0" w:firstColumn="0" w:lastColumn="0" w:oddVBand="0" w:evenVBand="0" w:oddHBand="1" w:evenHBand="0" w:firstRowFirstColumn="0" w:firstRowLastColumn="0" w:lastRowFirstColumn="0" w:lastRowLastColumn="0"/>
            </w:pPr>
            <w:r w:rsidRPr="00DB09BC">
              <w:rPr>
                <w:color w:val="000000"/>
              </w:rPr>
              <w:t>$38</w:t>
            </w:r>
          </w:p>
        </w:tc>
        <w:tc>
          <w:tcPr>
            <w:tcW w:w="1508" w:type="dxa"/>
            <w:vAlign w:val="bottom"/>
          </w:tcPr>
          <w:p w14:paraId="6730F1EC" w14:textId="77777777" w:rsidR="001F75FE" w:rsidRPr="000366FF" w:rsidRDefault="001F75FE" w:rsidP="007D3F98">
            <w:pPr>
              <w:jc w:val="center"/>
              <w:cnfStyle w:val="000000100000" w:firstRow="0" w:lastRow="0" w:firstColumn="0" w:lastColumn="0" w:oddVBand="0" w:evenVBand="0" w:oddHBand="1" w:evenHBand="0" w:firstRowFirstColumn="0" w:firstRowLastColumn="0" w:lastRowFirstColumn="0" w:lastRowLastColumn="0"/>
              <w:rPr>
                <w:color w:val="4EA72E" w:themeColor="accent6"/>
              </w:rPr>
            </w:pPr>
            <w:r w:rsidRPr="000366FF">
              <w:rPr>
                <w:b/>
                <w:bCs/>
                <w:color w:val="4EA72E" w:themeColor="accent6"/>
              </w:rPr>
              <w:t>$182</w:t>
            </w:r>
          </w:p>
        </w:tc>
        <w:tc>
          <w:tcPr>
            <w:tcW w:w="1503" w:type="dxa"/>
            <w:vAlign w:val="bottom"/>
          </w:tcPr>
          <w:p w14:paraId="5BBDD6EE" w14:textId="77777777" w:rsidR="001F75FE" w:rsidRPr="000366FF" w:rsidRDefault="001F75FE" w:rsidP="007D3F98">
            <w:pPr>
              <w:jc w:val="center"/>
              <w:cnfStyle w:val="000000100000" w:firstRow="0" w:lastRow="0" w:firstColumn="0" w:lastColumn="0" w:oddVBand="0" w:evenVBand="0" w:oddHBand="1" w:evenHBand="0" w:firstRowFirstColumn="0" w:firstRowLastColumn="0" w:lastRowFirstColumn="0" w:lastRowLastColumn="0"/>
              <w:rPr>
                <w:color w:val="4EA72E" w:themeColor="accent6"/>
              </w:rPr>
            </w:pPr>
            <w:r w:rsidRPr="000366FF">
              <w:rPr>
                <w:b/>
                <w:bCs/>
                <w:color w:val="4EA72E" w:themeColor="accent6"/>
              </w:rPr>
              <w:t>$9,483</w:t>
            </w:r>
          </w:p>
        </w:tc>
      </w:tr>
      <w:tr w:rsidR="001F75FE" w:rsidRPr="00DB09BC" w14:paraId="33425958" w14:textId="77777777" w:rsidTr="007D3F98">
        <w:trPr>
          <w:trHeight w:val="287"/>
        </w:trPr>
        <w:tc>
          <w:tcPr>
            <w:cnfStyle w:val="001000000000" w:firstRow="0" w:lastRow="0" w:firstColumn="1" w:lastColumn="0" w:oddVBand="0" w:evenVBand="0" w:oddHBand="0" w:evenHBand="0" w:firstRowFirstColumn="0" w:firstRowLastColumn="0" w:lastRowFirstColumn="0" w:lastRowLastColumn="0"/>
            <w:tcW w:w="1528" w:type="dxa"/>
          </w:tcPr>
          <w:p w14:paraId="0A04C282" w14:textId="77777777" w:rsidR="001F75FE" w:rsidRPr="000D4499" w:rsidRDefault="001F75FE" w:rsidP="007D3F98">
            <w:pPr>
              <w:rPr>
                <w:b w:val="0"/>
                <w:bCs w:val="0"/>
                <w:color w:val="000000"/>
              </w:rPr>
            </w:pPr>
            <w:r w:rsidRPr="00DB09BC">
              <w:rPr>
                <w:b w:val="0"/>
                <w:bCs w:val="0"/>
                <w:color w:val="000000"/>
              </w:rPr>
              <w:t>Wiley Park</w:t>
            </w:r>
          </w:p>
        </w:tc>
        <w:tc>
          <w:tcPr>
            <w:tcW w:w="1506" w:type="dxa"/>
          </w:tcPr>
          <w:p w14:paraId="73A6AC25" w14:textId="77777777" w:rsidR="001F75FE" w:rsidRPr="00DB09BC"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DB09BC">
              <w:t>$360</w:t>
            </w:r>
          </w:p>
        </w:tc>
        <w:tc>
          <w:tcPr>
            <w:tcW w:w="1585" w:type="dxa"/>
            <w:vAlign w:val="bottom"/>
          </w:tcPr>
          <w:p w14:paraId="5C270D1D" w14:textId="77777777" w:rsidR="001F75FE" w:rsidRPr="00DB09BC"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DB09BC">
              <w:rPr>
                <w:color w:val="000000"/>
              </w:rPr>
              <w:t>$213 (59%)</w:t>
            </w:r>
          </w:p>
        </w:tc>
        <w:tc>
          <w:tcPr>
            <w:tcW w:w="1588" w:type="dxa"/>
            <w:vAlign w:val="bottom"/>
          </w:tcPr>
          <w:p w14:paraId="612EED2C" w14:textId="77777777" w:rsidR="001F75FE" w:rsidRPr="00DB09BC" w:rsidRDefault="001F75FE" w:rsidP="007D3F98">
            <w:pPr>
              <w:jc w:val="center"/>
              <w:cnfStyle w:val="000000000000" w:firstRow="0" w:lastRow="0" w:firstColumn="0" w:lastColumn="0" w:oddVBand="0" w:evenVBand="0" w:oddHBand="0" w:evenHBand="0" w:firstRowFirstColumn="0" w:firstRowLastColumn="0" w:lastRowFirstColumn="0" w:lastRowLastColumn="0"/>
            </w:pPr>
            <w:r w:rsidRPr="00DB09BC">
              <w:rPr>
                <w:color w:val="000000"/>
              </w:rPr>
              <w:t>$37</w:t>
            </w:r>
          </w:p>
        </w:tc>
        <w:tc>
          <w:tcPr>
            <w:tcW w:w="1508" w:type="dxa"/>
            <w:vAlign w:val="bottom"/>
          </w:tcPr>
          <w:p w14:paraId="604D9071" w14:textId="77777777" w:rsidR="001F75FE" w:rsidRPr="000366FF" w:rsidRDefault="001F75FE" w:rsidP="007D3F98">
            <w:pPr>
              <w:jc w:val="center"/>
              <w:cnfStyle w:val="000000000000" w:firstRow="0" w:lastRow="0" w:firstColumn="0" w:lastColumn="0" w:oddVBand="0" w:evenVBand="0" w:oddHBand="0" w:evenHBand="0" w:firstRowFirstColumn="0" w:firstRowLastColumn="0" w:lastRowFirstColumn="0" w:lastRowLastColumn="0"/>
              <w:rPr>
                <w:color w:val="4EA72E" w:themeColor="accent6"/>
              </w:rPr>
            </w:pPr>
            <w:r w:rsidRPr="000366FF">
              <w:rPr>
                <w:b/>
                <w:bCs/>
                <w:color w:val="4EA72E" w:themeColor="accent6"/>
              </w:rPr>
              <w:t>$176</w:t>
            </w:r>
          </w:p>
        </w:tc>
        <w:tc>
          <w:tcPr>
            <w:tcW w:w="1503" w:type="dxa"/>
            <w:vAlign w:val="bottom"/>
          </w:tcPr>
          <w:p w14:paraId="1AAB28A1" w14:textId="77777777" w:rsidR="001F75FE" w:rsidRPr="000366FF" w:rsidRDefault="001F75FE" w:rsidP="007D3F98">
            <w:pPr>
              <w:jc w:val="center"/>
              <w:cnfStyle w:val="000000000000" w:firstRow="0" w:lastRow="0" w:firstColumn="0" w:lastColumn="0" w:oddVBand="0" w:evenVBand="0" w:oddHBand="0" w:evenHBand="0" w:firstRowFirstColumn="0" w:firstRowLastColumn="0" w:lastRowFirstColumn="0" w:lastRowLastColumn="0"/>
              <w:rPr>
                <w:color w:val="4EA72E" w:themeColor="accent6"/>
              </w:rPr>
            </w:pPr>
            <w:r w:rsidRPr="000366FF">
              <w:rPr>
                <w:b/>
                <w:bCs/>
                <w:color w:val="4EA72E" w:themeColor="accent6"/>
              </w:rPr>
              <w:t>$9,130</w:t>
            </w:r>
          </w:p>
        </w:tc>
      </w:tr>
    </w:tbl>
    <w:p w14:paraId="136A48EF" w14:textId="77777777" w:rsidR="001F75FE" w:rsidRPr="008F17BB" w:rsidRDefault="001F75FE" w:rsidP="001F75FE">
      <w:pPr>
        <w:rPr>
          <w:i/>
        </w:rPr>
      </w:pPr>
      <w:r w:rsidRPr="008F17BB">
        <w:rPr>
          <w:i/>
          <w:iCs/>
        </w:rPr>
        <w:t xml:space="preserve">Additional detail on these calculations can be provided on request. </w:t>
      </w:r>
    </w:p>
    <w:p w14:paraId="4E04A12C" w14:textId="771D6745" w:rsidR="001F75FE" w:rsidRDefault="007E116E" w:rsidP="001F75FE">
      <w:pPr>
        <w:pStyle w:val="Heading1"/>
      </w:pPr>
      <w:bookmarkStart w:id="2" w:name="_Toc243059490"/>
      <w:r>
        <w:t>Polling</w:t>
      </w:r>
      <w:r w:rsidR="00474C0A">
        <w:t>, ACT experience</w:t>
      </w:r>
      <w:r>
        <w:t xml:space="preserve"> and studies back rent controls</w:t>
      </w:r>
      <w:bookmarkEnd w:id="2"/>
    </w:p>
    <w:p w14:paraId="39BF0759" w14:textId="77777777" w:rsidR="0081629F" w:rsidRDefault="0081629F" w:rsidP="0081629F">
      <w:r>
        <w:t>On 14 October 2026, The Australia Institute published polling showing:</w:t>
      </w:r>
      <w:r>
        <w:rPr>
          <w:rStyle w:val="FootnoteReference"/>
        </w:rPr>
        <w:footnoteReference w:id="11"/>
      </w:r>
    </w:p>
    <w:p w14:paraId="7089B254" w14:textId="77777777" w:rsidR="0081629F" w:rsidRDefault="0081629F" w:rsidP="0081629F">
      <w:pPr>
        <w:pStyle w:val="ListParagraph"/>
        <w:numPr>
          <w:ilvl w:val="0"/>
          <w:numId w:val="8"/>
        </w:numPr>
      </w:pPr>
      <w:r>
        <w:lastRenderedPageBreak/>
        <w:t>Four in five voters support some form of government regulation around increasing rents</w:t>
      </w:r>
    </w:p>
    <w:p w14:paraId="6D8B27EA" w14:textId="77777777" w:rsidR="0081629F" w:rsidRDefault="0081629F" w:rsidP="0081629F">
      <w:pPr>
        <w:pStyle w:val="ListParagraph"/>
        <w:numPr>
          <w:ilvl w:val="0"/>
          <w:numId w:val="8"/>
        </w:numPr>
      </w:pPr>
      <w:r>
        <w:t xml:space="preserve">55% (NSW: 51%) believe rent increases should be capped at inflation or less, another 23% (NSW: 25%)  believe rents should be temporarily frozen, and only 14% (NSW: 15%) oppose limits on rent rises. </w:t>
      </w:r>
    </w:p>
    <w:p w14:paraId="0E872F53" w14:textId="77777777" w:rsidR="0081629F" w:rsidRDefault="0081629F" w:rsidP="0081629F">
      <w:pPr>
        <w:pStyle w:val="ListParagraph"/>
        <w:numPr>
          <w:ilvl w:val="0"/>
          <w:numId w:val="8"/>
        </w:numPr>
      </w:pPr>
      <w:r>
        <w:t>94% of renters and over 70% of home owners support a rent freeze or cap</w:t>
      </w:r>
    </w:p>
    <w:p w14:paraId="3DE8A974" w14:textId="63D7276C" w:rsidR="0081629F" w:rsidRDefault="0081629F" w:rsidP="001F75FE">
      <w:r>
        <w:t>Polling by Essential in 2023 showed that 3 out of 4 Australians supported a rent freeze or limits on rent increases until the economy improved</w:t>
      </w:r>
      <w:r>
        <w:rPr>
          <w:rStyle w:val="FootnoteReference"/>
        </w:rPr>
        <w:footnoteReference w:id="12"/>
      </w:r>
      <w:r>
        <w:t xml:space="preserve">, and things have only gotten worse since then for renters. </w:t>
      </w:r>
    </w:p>
    <w:p w14:paraId="22A7F3EC" w14:textId="124A0D30" w:rsidR="001F75FE" w:rsidRDefault="001F75FE" w:rsidP="001F75FE">
      <w:r>
        <w:t xml:space="preserve">There is evidence from Australia, and from all over the world, that rent controls work. </w:t>
      </w:r>
    </w:p>
    <w:p w14:paraId="43725ECE" w14:textId="411A5C47" w:rsidR="00F32275" w:rsidRDefault="00405EC5" w:rsidP="001F75FE">
      <w:r>
        <w:t>Rent controls in the ACT have supported lower growth in rent increases than other Australian capitals</w:t>
      </w:r>
      <w:r w:rsidR="00474C0A">
        <w:t>,</w:t>
      </w:r>
      <w:r>
        <w:t xml:space="preserve"> while </w:t>
      </w:r>
      <w:r w:rsidR="00474C0A">
        <w:t xml:space="preserve">Canberra’s </w:t>
      </w:r>
      <w:r>
        <w:t>supply</w:t>
      </w:r>
      <w:r w:rsidR="00C17780">
        <w:t xml:space="preserve"> of rentals</w:t>
      </w:r>
      <w:r>
        <w:t xml:space="preserve"> has grown</w:t>
      </w:r>
      <w:r w:rsidR="00474C0A">
        <w:t>, debunking claims that rent controls inhibit supply</w:t>
      </w:r>
      <w:r>
        <w:t>.</w:t>
      </w:r>
      <w:r w:rsidR="00C17780">
        <w:rPr>
          <w:rStyle w:val="FootnoteReference"/>
        </w:rPr>
        <w:footnoteReference w:id="13"/>
      </w:r>
    </w:p>
    <w:p w14:paraId="20455D88" w14:textId="77777777" w:rsidR="001F75FE" w:rsidRDefault="001F75FE" w:rsidP="001F75FE">
      <w:r>
        <w:t>A November 2023 Macquarie University paper,</w:t>
      </w:r>
      <w:r>
        <w:rPr>
          <w:rStyle w:val="FootnoteReference"/>
        </w:rPr>
        <w:footnoteReference w:id="14"/>
      </w:r>
      <w:r>
        <w:t xml:space="preserve"> prepared for the Tenants Union NSW and Shelter NSW by researchers Dr Alistair Sisson and Dr Penelope Bowyer-Pont, address the international evidence. </w:t>
      </w:r>
    </w:p>
    <w:p w14:paraId="2021F81C" w14:textId="77777777" w:rsidR="001F75FE" w:rsidRDefault="001F75FE" w:rsidP="001F75FE">
      <w:r>
        <w:t xml:space="preserve">Their study found </w:t>
      </w:r>
      <w:r w:rsidRPr="00C95D46">
        <w:t>widespread evidence that rent regulation produces positive outcomes for tenants</w:t>
      </w:r>
      <w:r>
        <w:t>.</w:t>
      </w:r>
    </w:p>
    <w:p w14:paraId="52380B82" w14:textId="77777777" w:rsidR="001F75FE" w:rsidRDefault="001F75FE" w:rsidP="001F75FE">
      <w:r>
        <w:t>They report a “</w:t>
      </w:r>
      <w:r w:rsidRPr="000670C4">
        <w:t>general consensus that rent regulation successfully reduces rents, moderates rent growth over time, and improves security of tenure.</w:t>
      </w:r>
      <w:r>
        <w:t>”</w:t>
      </w:r>
    </w:p>
    <w:p w14:paraId="4B1E630D" w14:textId="77777777" w:rsidR="001F75FE" w:rsidRDefault="001F75FE" w:rsidP="001F75FE">
      <w:r>
        <w:t xml:space="preserve">They also note that where rent increases are made contingent on adequate repairs, and larger increases contingent on amenity improvements, rent controls actually improve housing quality. </w:t>
      </w:r>
    </w:p>
    <w:p w14:paraId="67CAC7FB" w14:textId="77777777" w:rsidR="001F75FE" w:rsidRDefault="001F75FE" w:rsidP="001F75FE">
      <w:r>
        <w:t xml:space="preserve">They report that there is scant evidence of rent regulation reducing construction activity, despite this claim being a common feature of public debate. </w:t>
      </w:r>
    </w:p>
    <w:p w14:paraId="6966D55A" w14:textId="77777777" w:rsidR="001F75FE" w:rsidRDefault="001F75FE" w:rsidP="001F75FE">
      <w:r>
        <w:t>Rent controls have been recently supported by the leading voices for housing in NSW including the Tenants Union NSW/ACT,</w:t>
      </w:r>
      <w:r>
        <w:rPr>
          <w:rStyle w:val="FootnoteReference"/>
        </w:rPr>
        <w:footnoteReference w:id="15"/>
      </w:r>
      <w:r>
        <w:t xml:space="preserve"> Shelter NSW</w:t>
      </w:r>
      <w:r>
        <w:rPr>
          <w:rStyle w:val="FootnoteReference"/>
        </w:rPr>
        <w:footnoteReference w:id="16"/>
      </w:r>
      <w:r>
        <w:t>, Homelessness NSW,</w:t>
      </w:r>
      <w:r>
        <w:rPr>
          <w:rStyle w:val="FootnoteReference"/>
        </w:rPr>
        <w:footnoteReference w:id="17"/>
      </w:r>
      <w:r>
        <w:t xml:space="preserve"> and NCOSS.</w:t>
      </w:r>
      <w:r>
        <w:rPr>
          <w:rStyle w:val="FootnoteReference"/>
        </w:rPr>
        <w:footnoteReference w:id="18"/>
      </w:r>
    </w:p>
    <w:p w14:paraId="2913D07D" w14:textId="77777777" w:rsidR="001F75FE" w:rsidRDefault="001F75FE" w:rsidP="001F75FE">
      <w:r>
        <w:lastRenderedPageBreak/>
        <w:t xml:space="preserve">Everybody’s Home, a national coalition of over 500 housing, homelessness and welfare </w:t>
      </w:r>
      <w:r w:rsidRPr="00F66229">
        <w:t xml:space="preserve">organisations, </w:t>
      </w:r>
      <w:r>
        <w:t xml:space="preserve">as well as </w:t>
      </w:r>
      <w:r w:rsidRPr="00F66229">
        <w:t>businesses and councils</w:t>
      </w:r>
      <w:r>
        <w:t>, is actively campaigning for rent controls in NSW.</w:t>
      </w:r>
      <w:r>
        <w:rPr>
          <w:rStyle w:val="FootnoteReference"/>
        </w:rPr>
        <w:footnoteReference w:id="19"/>
      </w:r>
      <w:r>
        <w:t xml:space="preserve"> </w:t>
      </w:r>
    </w:p>
    <w:p w14:paraId="71155676" w14:textId="77777777" w:rsidR="001F75FE" w:rsidRPr="0069388E" w:rsidRDefault="001F75FE" w:rsidP="001F75FE">
      <w:pPr>
        <w:tabs>
          <w:tab w:val="left" w:pos="4005"/>
        </w:tabs>
      </w:pPr>
      <w:r>
        <w:t xml:space="preserve">When asked by Ms Leong about this polling in Question Time on 15 October, Premier Chris Minns pointed to the Government’s attempts to increase supply by “liberalising the planning laws” which he said “will make a difference over time”, but conceded </w:t>
      </w:r>
      <w:r w:rsidRPr="00271F4C">
        <w:t>“there is a broad desire from the public to have regulation around the rental environment, and certainly not above inflation</w:t>
      </w:r>
      <w:r>
        <w:t>,</w:t>
      </w:r>
      <w:r w:rsidRPr="00271F4C">
        <w:t>”</w:t>
      </w:r>
      <w:r>
        <w:t xml:space="preserve"> and that renters are “leaving our jurisdiction” due to the challenges of the rental market</w:t>
      </w:r>
      <w:r w:rsidRPr="00271F4C">
        <w:t>.</w:t>
      </w:r>
      <w:r>
        <w:rPr>
          <w:rStyle w:val="FootnoteReference"/>
        </w:rPr>
        <w:footnoteReference w:id="20"/>
      </w:r>
    </w:p>
    <w:p w14:paraId="583627DC" w14:textId="3260D22E" w:rsidR="0037626E" w:rsidRDefault="000234A2" w:rsidP="000234A2">
      <w:pPr>
        <w:pStyle w:val="Heading1"/>
      </w:pPr>
      <w:bookmarkStart w:id="3" w:name="_Toc243059491"/>
      <w:r>
        <w:t>The Greens Rent Control Bill</w:t>
      </w:r>
      <w:r w:rsidR="00FD02B3">
        <w:t xml:space="preserve"> </w:t>
      </w:r>
      <w:r w:rsidR="007B477A">
        <w:t>– 4 fundamental reforms</w:t>
      </w:r>
      <w:bookmarkEnd w:id="3"/>
    </w:p>
    <w:p w14:paraId="355E6CD5" w14:textId="710D7779" w:rsidR="00E12BCE" w:rsidRDefault="00FE40DC" w:rsidP="007642AD">
      <w:pPr>
        <w:tabs>
          <w:tab w:val="left" w:pos="4005"/>
        </w:tabs>
      </w:pPr>
      <w:r>
        <w:t xml:space="preserve">As the Greens spokesperson on housing and homelessness, I will be introducing the </w:t>
      </w:r>
      <w:r w:rsidRPr="00FE40DC">
        <w:rPr>
          <w:i/>
          <w:iCs/>
        </w:rPr>
        <w:t>Residential Tenancies Amendment (Rent Control) Bill 2026</w:t>
      </w:r>
      <w:r w:rsidR="00CD45E0">
        <w:rPr>
          <w:i/>
          <w:iCs/>
        </w:rPr>
        <w:t xml:space="preserve"> </w:t>
      </w:r>
      <w:r w:rsidR="00CD45E0">
        <w:t>(</w:t>
      </w:r>
      <w:r w:rsidR="00CD45E0" w:rsidRPr="00CD45E0">
        <w:rPr>
          <w:b/>
          <w:bCs/>
        </w:rPr>
        <w:t>Rent Control Bill</w:t>
      </w:r>
      <w:r w:rsidR="00CD45E0">
        <w:t>)</w:t>
      </w:r>
      <w:r w:rsidR="004543A2">
        <w:t xml:space="preserve">. </w:t>
      </w:r>
    </w:p>
    <w:p w14:paraId="4ED4B020" w14:textId="77777777" w:rsidR="00C36033" w:rsidRDefault="004543A2" w:rsidP="007642AD">
      <w:pPr>
        <w:tabs>
          <w:tab w:val="left" w:pos="4005"/>
        </w:tabs>
      </w:pPr>
      <w:r>
        <w:t xml:space="preserve">Our Rent Control Bill </w:t>
      </w:r>
      <w:r w:rsidR="009A1325">
        <w:t>originates from the belief that</w:t>
      </w:r>
      <w:r w:rsidR="001B3A1C">
        <w:t xml:space="preserve"> renters have a right to a decent, affordable home.</w:t>
      </w:r>
      <w:r w:rsidR="00BA1995">
        <w:t xml:space="preserve"> We must </w:t>
      </w:r>
      <w:r w:rsidR="00C36033">
        <w:t>stop putting the</w:t>
      </w:r>
      <w:r w:rsidR="001B3A1C">
        <w:t xml:space="preserve"> profit interests of property investors </w:t>
      </w:r>
      <w:r w:rsidR="00C36033">
        <w:t xml:space="preserve">ahead of this fundamental right. </w:t>
      </w:r>
    </w:p>
    <w:p w14:paraId="6F5E8D07" w14:textId="77777777" w:rsidR="00C36033" w:rsidRDefault="00C36033" w:rsidP="007642AD">
      <w:pPr>
        <w:tabs>
          <w:tab w:val="left" w:pos="4005"/>
        </w:tabs>
      </w:pPr>
      <w:r>
        <w:t>The Bill has four key components:</w:t>
      </w:r>
    </w:p>
    <w:p w14:paraId="0B675E91" w14:textId="4966A860" w:rsidR="00606E7F" w:rsidRDefault="004732E2" w:rsidP="00C36033">
      <w:pPr>
        <w:pStyle w:val="ListParagraph"/>
        <w:numPr>
          <w:ilvl w:val="0"/>
          <w:numId w:val="2"/>
        </w:numPr>
        <w:tabs>
          <w:tab w:val="left" w:pos="4005"/>
        </w:tabs>
      </w:pPr>
      <w:r>
        <w:t>A rent freeze for 12 months</w:t>
      </w:r>
    </w:p>
    <w:p w14:paraId="5EB75AD3" w14:textId="5EA1FBC1" w:rsidR="00606E7F" w:rsidRDefault="00170860" w:rsidP="00C36033">
      <w:pPr>
        <w:pStyle w:val="ListParagraph"/>
        <w:numPr>
          <w:ilvl w:val="0"/>
          <w:numId w:val="2"/>
        </w:numPr>
        <w:tabs>
          <w:tab w:val="left" w:pos="4005"/>
        </w:tabs>
      </w:pPr>
      <w:r>
        <w:t xml:space="preserve">Introducing a </w:t>
      </w:r>
      <w:r w:rsidR="00606E7F">
        <w:t xml:space="preserve">permanent </w:t>
      </w:r>
      <w:r w:rsidR="004732E2">
        <w:t xml:space="preserve">2% </w:t>
      </w:r>
      <w:r w:rsidR="00606E7F">
        <w:t xml:space="preserve">cap on rent increases </w:t>
      </w:r>
    </w:p>
    <w:p w14:paraId="439F439D" w14:textId="04482166" w:rsidR="004543A2" w:rsidRDefault="00170860" w:rsidP="00C36033">
      <w:pPr>
        <w:pStyle w:val="ListParagraph"/>
        <w:numPr>
          <w:ilvl w:val="0"/>
          <w:numId w:val="2"/>
        </w:numPr>
        <w:tabs>
          <w:tab w:val="left" w:pos="4005"/>
        </w:tabs>
      </w:pPr>
      <w:r>
        <w:t xml:space="preserve">Empowering </w:t>
      </w:r>
      <w:r w:rsidR="00CC2742">
        <w:t>renters to seek rent reductions</w:t>
      </w:r>
    </w:p>
    <w:p w14:paraId="5711AF52" w14:textId="78940E13" w:rsidR="00CC2742" w:rsidRDefault="00CC2742" w:rsidP="00C36033">
      <w:pPr>
        <w:pStyle w:val="ListParagraph"/>
        <w:numPr>
          <w:ilvl w:val="0"/>
          <w:numId w:val="2"/>
        </w:numPr>
        <w:tabs>
          <w:tab w:val="left" w:pos="4005"/>
        </w:tabs>
      </w:pPr>
      <w:r>
        <w:t>Giving renters security in their home, with standard 2 year fixed term leases</w:t>
      </w:r>
      <w:r w:rsidR="00522893">
        <w:t xml:space="preserve"> </w:t>
      </w:r>
      <w:r w:rsidR="00FD02B3">
        <w:t xml:space="preserve">with a tenant option to renew each 2 years. </w:t>
      </w:r>
    </w:p>
    <w:p w14:paraId="33A6D2B3" w14:textId="3548A5F3" w:rsidR="00FD02B3" w:rsidRDefault="00FD02B3" w:rsidP="007B477A">
      <w:pPr>
        <w:pStyle w:val="Heading1"/>
        <w:numPr>
          <w:ilvl w:val="0"/>
          <w:numId w:val="6"/>
        </w:numPr>
      </w:pPr>
      <w:bookmarkStart w:id="4" w:name="_Toc243059492"/>
      <w:r>
        <w:t>Rent Freeze</w:t>
      </w:r>
      <w:bookmarkEnd w:id="4"/>
    </w:p>
    <w:p w14:paraId="2D0C8412" w14:textId="5132226F" w:rsidR="009C3DA2" w:rsidRDefault="009C3DA2" w:rsidP="00CC6D56">
      <w:r>
        <w:t xml:space="preserve">The Rent Control Bill </w:t>
      </w:r>
      <w:r w:rsidR="00CD45E0">
        <w:t xml:space="preserve">would amend the Act to freeze rents immediately for a period of 12 months. </w:t>
      </w:r>
    </w:p>
    <w:p w14:paraId="784B880C" w14:textId="1C655F1E" w:rsidR="00CD45E0" w:rsidRDefault="00CD45E0" w:rsidP="00CC6D56">
      <w:r>
        <w:t>During this period,</w:t>
      </w:r>
      <w:r w:rsidR="000014E2">
        <w:t xml:space="preserve"> commencing 7 days after the commenc</w:t>
      </w:r>
      <w:r w:rsidR="001434E0">
        <w:t xml:space="preserve">ement date of the Bill (date of assent), </w:t>
      </w:r>
      <w:r w:rsidR="00CC6D56">
        <w:t>no</w:t>
      </w:r>
      <w:r w:rsidR="001434E0">
        <w:t xml:space="preserve"> rent</w:t>
      </w:r>
      <w:r w:rsidR="00CC6D56">
        <w:t xml:space="preserve"> increases would be permitted under existing tenancy agreements. </w:t>
      </w:r>
    </w:p>
    <w:p w14:paraId="5699559A" w14:textId="1D8ED7C6" w:rsidR="00351626" w:rsidRPr="00D87D96" w:rsidRDefault="00D87D96" w:rsidP="00CC6D56">
      <w:pPr>
        <w:rPr>
          <w:b/>
          <w:bCs/>
          <w:i/>
          <w:iCs/>
        </w:rPr>
      </w:pPr>
      <w:r w:rsidRPr="00D87D96">
        <w:rPr>
          <w:b/>
          <w:bCs/>
          <w:i/>
          <w:iCs/>
        </w:rPr>
        <w:t>Increases since 30 June 2026 must be repaid</w:t>
      </w:r>
    </w:p>
    <w:p w14:paraId="3A91C361" w14:textId="6A3E540D" w:rsidR="00D30B9F" w:rsidRDefault="00D30B9F" w:rsidP="00CC6D56">
      <w:r>
        <w:lastRenderedPageBreak/>
        <w:t xml:space="preserve">The Bill </w:t>
      </w:r>
      <w:r w:rsidR="001434E0">
        <w:t>also</w:t>
      </w:r>
      <w:r>
        <w:t xml:space="preserve"> ensure</w:t>
      </w:r>
      <w:r w:rsidR="001434E0">
        <w:t>s</w:t>
      </w:r>
      <w:r>
        <w:t xml:space="preserve"> increases</w:t>
      </w:r>
      <w:r w:rsidR="000C3456">
        <w:t xml:space="preserve"> since 30 June 2026</w:t>
      </w:r>
      <w:r>
        <w:t xml:space="preserve"> </w:t>
      </w:r>
      <w:r w:rsidR="000C3456">
        <w:t xml:space="preserve">are nullified, so that </w:t>
      </w:r>
      <w:r w:rsidR="002A14D0">
        <w:t xml:space="preserve">landlords cannot pervert the intention of the Bill by passing through increases before commencement. </w:t>
      </w:r>
    </w:p>
    <w:p w14:paraId="467D4792" w14:textId="1A007C21" w:rsidR="002C57C4" w:rsidRPr="009760DC" w:rsidRDefault="002C57C4" w:rsidP="002A14D0">
      <w:pPr>
        <w:pStyle w:val="ListParagraph"/>
        <w:numPr>
          <w:ilvl w:val="0"/>
          <w:numId w:val="5"/>
        </w:numPr>
      </w:pPr>
      <w:r w:rsidRPr="009760DC">
        <w:t>Any rent increases since 30 June 2026 would be nullified</w:t>
      </w:r>
      <w:r w:rsidR="002A14D0">
        <w:t>.</w:t>
      </w:r>
      <w:r w:rsidR="009760DC" w:rsidRPr="009760DC">
        <w:t xml:space="preserve"> </w:t>
      </w:r>
    </w:p>
    <w:p w14:paraId="4B2ED69E" w14:textId="0E863721" w:rsidR="00CC6D56" w:rsidRDefault="002719A6" w:rsidP="002A14D0">
      <w:pPr>
        <w:pStyle w:val="ListParagraph"/>
        <w:numPr>
          <w:ilvl w:val="0"/>
          <w:numId w:val="5"/>
        </w:numPr>
      </w:pPr>
      <w:r>
        <w:t>Rent under n</w:t>
      </w:r>
      <w:r w:rsidR="00B754B0">
        <w:t xml:space="preserve">ew tenancies </w:t>
      </w:r>
      <w:r w:rsidR="002A14D0">
        <w:t>entered</w:t>
      </w:r>
      <w:r w:rsidR="00CD1AC8">
        <w:t xml:space="preserve"> since </w:t>
      </w:r>
      <w:r w:rsidR="00D30B9F">
        <w:t xml:space="preserve">30 June 2026 </w:t>
      </w:r>
      <w:r>
        <w:t xml:space="preserve">must not exceed the </w:t>
      </w:r>
      <w:r w:rsidR="00B362D3">
        <w:t xml:space="preserve">rent payable as at 30 June 2026, or if no agreement applied on that date, the median rent for similar dwellings per the Government’s published quarterly rent tables. </w:t>
      </w:r>
    </w:p>
    <w:p w14:paraId="3B641EF8" w14:textId="77777777" w:rsidR="00B362D3" w:rsidRDefault="00B362D3" w:rsidP="00B362D3">
      <w:pPr>
        <w:pStyle w:val="ListParagraph"/>
      </w:pPr>
    </w:p>
    <w:p w14:paraId="21115EBE" w14:textId="35207BC9" w:rsidR="009A4379" w:rsidRPr="0051292D" w:rsidRDefault="00B362D3" w:rsidP="0051292D">
      <w:pPr>
        <w:pStyle w:val="ListParagraph"/>
        <w:numPr>
          <w:ilvl w:val="0"/>
          <w:numId w:val="5"/>
        </w:numPr>
        <w:rPr>
          <w:b/>
          <w:bCs/>
        </w:rPr>
      </w:pPr>
      <w:r w:rsidRPr="009A4379">
        <w:rPr>
          <w:b/>
          <w:bCs/>
        </w:rPr>
        <w:t xml:space="preserve">Any rent paid in </w:t>
      </w:r>
      <w:r w:rsidR="009A4379" w:rsidRPr="009A4379">
        <w:rPr>
          <w:b/>
          <w:bCs/>
        </w:rPr>
        <w:t xml:space="preserve">excess of these rules since 30 June must be repaid by the landlord to the tenant within 14 days of commencement. </w:t>
      </w:r>
    </w:p>
    <w:p w14:paraId="671EBBA4" w14:textId="59C14BD9" w:rsidR="009A4379" w:rsidRPr="009A4379" w:rsidRDefault="009A4379" w:rsidP="009A4379">
      <w:r>
        <w:t xml:space="preserve">Additionally, the rent freeze </w:t>
      </w:r>
      <w:r w:rsidR="00D06407">
        <w:t xml:space="preserve">will attach to fixed term tenancies entered into before the rent freeze period, meaning no increase may be applied under the end of the fixed term. For example, a 2 year </w:t>
      </w:r>
      <w:r w:rsidR="00CD5C40">
        <w:t xml:space="preserve">fixed term agreement entered into before the freeze period would not be subject to any increase until the end of the 2 year lease. </w:t>
      </w:r>
    </w:p>
    <w:p w14:paraId="5BCBC706" w14:textId="58256B2B" w:rsidR="005D0A7B" w:rsidRDefault="00422936" w:rsidP="007B477A">
      <w:pPr>
        <w:pStyle w:val="Heading1"/>
        <w:numPr>
          <w:ilvl w:val="0"/>
          <w:numId w:val="6"/>
        </w:numPr>
      </w:pPr>
      <w:bookmarkStart w:id="5" w:name="_Toc243059493"/>
      <w:r>
        <w:t>Rent Cap at 2%</w:t>
      </w:r>
      <w:bookmarkEnd w:id="5"/>
    </w:p>
    <w:p w14:paraId="586BD797" w14:textId="318B9977" w:rsidR="00E92914" w:rsidRDefault="00E92914" w:rsidP="00E92914">
      <w:r>
        <w:t>The Rent Control Bill will cap</w:t>
      </w:r>
      <w:r w:rsidR="00B82B9D">
        <w:t xml:space="preserve"> rent increases, after the rent freeze period, at 2% per year. </w:t>
      </w:r>
    </w:p>
    <w:p w14:paraId="49608E01" w14:textId="77777777" w:rsidR="00E66CBF" w:rsidRDefault="00E24307" w:rsidP="00E92914">
      <w:r>
        <w:t xml:space="preserve">A 2% cap lies at the lower end of the RBA inflation target. </w:t>
      </w:r>
      <w:r w:rsidR="00AD686A">
        <w:t>R</w:t>
      </w:r>
      <w:r>
        <w:t>ent controls in the ACT are linked to CPI</w:t>
      </w:r>
      <w:r w:rsidR="00AD686A">
        <w:t xml:space="preserve">. </w:t>
      </w:r>
      <w:r w:rsidR="00EB235C">
        <w:t xml:space="preserve">While this approach has supported the ACT to experience much lower rent increases than the rest of Australia, a 2% cap has the benefit of being tied to the long-term inflation target and stabilising </w:t>
      </w:r>
      <w:r w:rsidR="00E66CBF">
        <w:t xml:space="preserve">increases year to year. </w:t>
      </w:r>
    </w:p>
    <w:p w14:paraId="1EBF8F3C" w14:textId="278C9785" w:rsidR="00B82B9D" w:rsidRDefault="00096888" w:rsidP="00E92914">
      <w:r>
        <w:t>A fixed cap at 2%, rather than linked to CPI,</w:t>
      </w:r>
      <w:r w:rsidR="00E66CBF">
        <w:t xml:space="preserve"> means renters will not be hit with large increases during periods of high inflation when their budgets are most under pressure. </w:t>
      </w:r>
    </w:p>
    <w:p w14:paraId="58F7FCDF" w14:textId="5DEE270E" w:rsidR="00D87D96" w:rsidRPr="00D87D96" w:rsidRDefault="00D87D96" w:rsidP="00E92914">
      <w:pPr>
        <w:rPr>
          <w:b/>
          <w:bCs/>
          <w:i/>
          <w:iCs/>
        </w:rPr>
      </w:pPr>
      <w:r>
        <w:rPr>
          <w:b/>
          <w:bCs/>
          <w:i/>
          <w:iCs/>
        </w:rPr>
        <w:t>No increases where repairs are outstanding</w:t>
      </w:r>
    </w:p>
    <w:p w14:paraId="62DD85CE" w14:textId="3E0B3E4E" w:rsidR="00E24307" w:rsidRDefault="00CA17BD" w:rsidP="00E92914">
      <w:r>
        <w:t xml:space="preserve">Additionally, rent increases would </w:t>
      </w:r>
      <w:r w:rsidR="004F0506">
        <w:t xml:space="preserve">not be permitted where the landlord has </w:t>
      </w:r>
      <w:r w:rsidR="00EC0447">
        <w:t xml:space="preserve">not maintained the premises in breach of the tenancy agreement. Landlords should not be permitted to increase rents while requests for repairs are outstanding.  </w:t>
      </w:r>
    </w:p>
    <w:p w14:paraId="571D730E" w14:textId="2D60588D" w:rsidR="00D87D96" w:rsidRPr="00D87D96" w:rsidRDefault="00821F93" w:rsidP="00E92914">
      <w:pPr>
        <w:rPr>
          <w:b/>
          <w:bCs/>
          <w:i/>
          <w:iCs/>
        </w:rPr>
      </w:pPr>
      <w:r>
        <w:rPr>
          <w:b/>
          <w:bCs/>
          <w:i/>
          <w:iCs/>
        </w:rPr>
        <w:t>Cap applies to premises between tenancies</w:t>
      </w:r>
    </w:p>
    <w:p w14:paraId="3345C047" w14:textId="793FBF02" w:rsidR="00EC0447" w:rsidRDefault="00351626" w:rsidP="00E92914">
      <w:r>
        <w:t>Crucially, this limit would apply to rental premises between tenancies. This is sometimes referred to ‘vacancy control’. It means that there is zero incentive for evict a tenant in order to start a new tenancy at a higher rent. Where rental premises are subject to a new tenancy agreement, the rent may not exceed the rent of the previous agreement, unless there has been 12 months vacancy.</w:t>
      </w:r>
    </w:p>
    <w:p w14:paraId="6BDED7A1" w14:textId="35C1B9AE" w:rsidR="00821F93" w:rsidRDefault="00907C88" w:rsidP="00E92914">
      <w:pPr>
        <w:rPr>
          <w:b/>
          <w:bCs/>
          <w:i/>
          <w:iCs/>
        </w:rPr>
      </w:pPr>
      <w:r>
        <w:rPr>
          <w:b/>
          <w:bCs/>
          <w:i/>
          <w:iCs/>
        </w:rPr>
        <w:t xml:space="preserve">Incentivising </w:t>
      </w:r>
      <w:r w:rsidR="009E4BE8">
        <w:rPr>
          <w:b/>
          <w:bCs/>
          <w:i/>
          <w:iCs/>
        </w:rPr>
        <w:t>better rentals through exception for significant amenity improvements</w:t>
      </w:r>
    </w:p>
    <w:p w14:paraId="54938074" w14:textId="77777777" w:rsidR="00D52B4C" w:rsidRDefault="00D52B4C" w:rsidP="00D52B4C">
      <w:r>
        <w:lastRenderedPageBreak/>
        <w:t xml:space="preserve">In order to pass on a higher than 2% increase, landlords would be required to make an application to the Tribunal and demonstrate the completion of a significant amenity improvement, such as a kitchen or bathroom renovation. </w:t>
      </w:r>
    </w:p>
    <w:p w14:paraId="3F4F2BEF" w14:textId="5264D474" w:rsidR="00D52B4C" w:rsidRDefault="00D52B4C" w:rsidP="00D52B4C">
      <w:r>
        <w:t>The Tribunal would consider this improvement, weighed against the impact of any greater increase on the tenant. Importantly, improvements made to meet minimum requirements, such as any future minimum energy efficiency rental standards (</w:t>
      </w:r>
      <w:r w:rsidRPr="00D52B4C">
        <w:rPr>
          <w:b/>
          <w:bCs/>
        </w:rPr>
        <w:t>MEERS</w:t>
      </w:r>
      <w:r>
        <w:t xml:space="preserve">) would be excluded from consideration. </w:t>
      </w:r>
    </w:p>
    <w:p w14:paraId="045DA413" w14:textId="77777777" w:rsidR="002E740C" w:rsidRDefault="002E740C" w:rsidP="002E740C">
      <w:r>
        <w:t xml:space="preserve">This exception to the 2% rule would incentivise landlords to deliver amenity improvements that actually benefit tenants, while giving the Tribunal oversight to ensure they are significant and that tenants are protected against hardship. </w:t>
      </w:r>
    </w:p>
    <w:p w14:paraId="2F9FCADC" w14:textId="1C380F77" w:rsidR="00422936" w:rsidRDefault="00AC69F1" w:rsidP="007B477A">
      <w:pPr>
        <w:pStyle w:val="Heading1"/>
        <w:numPr>
          <w:ilvl w:val="0"/>
          <w:numId w:val="6"/>
        </w:numPr>
      </w:pPr>
      <w:bookmarkStart w:id="6" w:name="_Toc243059494"/>
      <w:r>
        <w:t xml:space="preserve">Rent </w:t>
      </w:r>
      <w:r w:rsidR="002F0539">
        <w:t>R</w:t>
      </w:r>
      <w:r>
        <w:t>eductions</w:t>
      </w:r>
      <w:bookmarkEnd w:id="6"/>
    </w:p>
    <w:p w14:paraId="6A18F322" w14:textId="67A991FF" w:rsidR="006C33F5" w:rsidRDefault="006C33F5" w:rsidP="006C33F5">
      <w:r>
        <w:t xml:space="preserve">Currently the Act only permits for rent reduction applications where there is a removal of services or amenity, or in response to a proposed increase. </w:t>
      </w:r>
    </w:p>
    <w:p w14:paraId="1385E01F" w14:textId="4EFB1816" w:rsidR="00A335D8" w:rsidRDefault="00A335D8" w:rsidP="00A335D8">
      <w:r>
        <w:t xml:space="preserve">Our Rent Control Bill would allow tenants to apply at any time for a rent reduction. </w:t>
      </w:r>
    </w:p>
    <w:p w14:paraId="7F5E4BD8" w14:textId="28E6376C" w:rsidR="00E22A2B" w:rsidRPr="00E22A2B" w:rsidRDefault="00E22A2B" w:rsidP="00F31FFE">
      <w:pPr>
        <w:rPr>
          <w:b/>
          <w:bCs/>
          <w:i/>
          <w:iCs/>
        </w:rPr>
      </w:pPr>
      <w:r>
        <w:rPr>
          <w:b/>
          <w:bCs/>
          <w:i/>
          <w:iCs/>
        </w:rPr>
        <w:t>Tribunal must focus on renter affordability and connection to premises</w:t>
      </w:r>
    </w:p>
    <w:p w14:paraId="57019424" w14:textId="77777777" w:rsidR="00F752AE" w:rsidRDefault="00F752AE" w:rsidP="00F752AE">
      <w:r>
        <w:t>The bill would remove the current provision that perversely prohibits the Tribunal from considering the income of the tenant or their ability to afford the rent.</w:t>
      </w:r>
    </w:p>
    <w:p w14:paraId="0BDC2AAD" w14:textId="77777777" w:rsidR="00F752AE" w:rsidRDefault="00F752AE" w:rsidP="00F752AE">
      <w:r>
        <w:t xml:space="preserve">Instead, the Tribunal would be required to consider the impact rent is having on the tenant with respect to affordability (defined as paying more than 30% of income on rent) and the tenant’s connection to place, accounting for caring responsibilities, social and family connections and length of tenure.  </w:t>
      </w:r>
    </w:p>
    <w:p w14:paraId="40772DFB" w14:textId="77777777" w:rsidR="00A37E10" w:rsidRDefault="00A37E10" w:rsidP="00A37E10">
      <w:r>
        <w:t xml:space="preserve">This properly focuses on the tenant as a human being and the rental property as their home, rather than just a source of profit for a landlord.  </w:t>
      </w:r>
    </w:p>
    <w:p w14:paraId="5CE659BF" w14:textId="4842EB85" w:rsidR="002E740C" w:rsidRDefault="00A37E10" w:rsidP="002E740C">
      <w:pPr>
        <w:rPr>
          <w:b/>
          <w:bCs/>
          <w:i/>
          <w:iCs/>
        </w:rPr>
      </w:pPr>
      <w:r>
        <w:rPr>
          <w:b/>
          <w:bCs/>
          <w:i/>
          <w:iCs/>
        </w:rPr>
        <w:t>Affordable housing must be genuinely affordable</w:t>
      </w:r>
    </w:p>
    <w:p w14:paraId="4A8D1409" w14:textId="1EDFDE02" w:rsidR="00A37E10" w:rsidRDefault="00A37E10" w:rsidP="002E740C">
      <w:r>
        <w:t xml:space="preserve">The Tribunal would also be empowered to consider whether the tenant is living in an affordable housing scheme, subject to the currently unenforceable Ministerial Guidelines. </w:t>
      </w:r>
    </w:p>
    <w:p w14:paraId="75A44EE8" w14:textId="77777777" w:rsidR="00C82F1F" w:rsidRDefault="002B23FA" w:rsidP="002E740C">
      <w:r>
        <w:t>There is ample evidence that affordable housing schemes in NSW are not delivering genuinely affordable homes</w:t>
      </w:r>
      <w:r w:rsidR="00C82F1F">
        <w:t xml:space="preserve">. </w:t>
      </w:r>
    </w:p>
    <w:p w14:paraId="03310DCD" w14:textId="56221747" w:rsidR="00A37E10" w:rsidRPr="00A37E10" w:rsidRDefault="00C82F1F" w:rsidP="002E740C">
      <w:r>
        <w:t xml:space="preserve">Renters in such units will be able to secure rent reductions that ensure </w:t>
      </w:r>
      <w:r w:rsidR="00804030">
        <w:t xml:space="preserve">the Ministerial Guidelines on rent not exceeding 30% of income are actually enforced. </w:t>
      </w:r>
    </w:p>
    <w:p w14:paraId="2E3C219E" w14:textId="568D0483" w:rsidR="00AC69F1" w:rsidRPr="005D0A7B" w:rsidRDefault="002F0539" w:rsidP="007B477A">
      <w:pPr>
        <w:pStyle w:val="Heading1"/>
        <w:numPr>
          <w:ilvl w:val="0"/>
          <w:numId w:val="6"/>
        </w:numPr>
      </w:pPr>
      <w:bookmarkStart w:id="7" w:name="_Toc243059495"/>
      <w:r>
        <w:lastRenderedPageBreak/>
        <w:t>Rent Security with standard, rolling 2-year fixed terms</w:t>
      </w:r>
      <w:bookmarkEnd w:id="7"/>
    </w:p>
    <w:p w14:paraId="3B3CA2BC" w14:textId="77777777" w:rsidR="00B74306" w:rsidRDefault="00B74306" w:rsidP="00B74306">
      <w:r>
        <w:t xml:space="preserve">The ACTU has called for a national default two-year rental lease standard. Like controlling rent increases, security of tenure is all about treating renters with dignity who deserve a home, not just a source of profits for investors. </w:t>
      </w:r>
    </w:p>
    <w:p w14:paraId="4A9C991F" w14:textId="77777777" w:rsidR="004C65F6" w:rsidRDefault="004C65F6" w:rsidP="004C65F6">
      <w:r>
        <w:t xml:space="preserve">This reform would require new tenancies to be advertised on 2 year fixed terms at a minimum, giving tenants the option to request a shorter term. </w:t>
      </w:r>
    </w:p>
    <w:p w14:paraId="74AB0C01" w14:textId="77777777" w:rsidR="004C65F6" w:rsidRDefault="004C65F6" w:rsidP="004C65F6">
      <w:r>
        <w:t xml:space="preserve">This restriction on how premises are advertised would carry similar protections and enforcement to the existing provisions prohibiting rent bidding. </w:t>
      </w:r>
    </w:p>
    <w:p w14:paraId="21CE2E9E" w14:textId="36D90423" w:rsidR="00133208" w:rsidRDefault="00133208" w:rsidP="00133208">
      <w:r>
        <w:t xml:space="preserve">The bill would also give tenants the right to request an extension to two-years during a tenancy, </w:t>
      </w:r>
      <w:r w:rsidR="00902CC4">
        <w:t>and</w:t>
      </w:r>
      <w:r>
        <w:t xml:space="preserve"> to extend an existing tenancy for a further two years at their discretion</w:t>
      </w:r>
      <w:r w:rsidR="00902CC4">
        <w:t xml:space="preserve"> at the end of the lease.</w:t>
      </w:r>
      <w:r>
        <w:t xml:space="preserve"> </w:t>
      </w:r>
    </w:p>
    <w:p w14:paraId="40C93E76" w14:textId="6FE97152" w:rsidR="00EF20A9" w:rsidRPr="00EF20A9" w:rsidRDefault="00EF20A9" w:rsidP="00133208">
      <w:pPr>
        <w:rPr>
          <w:b/>
          <w:bCs/>
          <w:i/>
          <w:iCs/>
        </w:rPr>
      </w:pPr>
      <w:r>
        <w:rPr>
          <w:b/>
          <w:bCs/>
          <w:i/>
          <w:iCs/>
        </w:rPr>
        <w:t xml:space="preserve">New tenant rights to terminate fixed term agreement without penalty with 4 </w:t>
      </w:r>
      <w:proofErr w:type="spellStart"/>
      <w:r>
        <w:rPr>
          <w:b/>
          <w:bCs/>
          <w:i/>
          <w:iCs/>
        </w:rPr>
        <w:t>weeks notice</w:t>
      </w:r>
      <w:proofErr w:type="spellEnd"/>
    </w:p>
    <w:p w14:paraId="1C8A2B23" w14:textId="77777777" w:rsidR="00EF20A9" w:rsidRDefault="00EF20A9" w:rsidP="00EF20A9">
      <w:r>
        <w:t xml:space="preserve">Complementing the introduction of standard rolling 2 year fixed terms, the bill would provide greater rights for tenants to terminate a fixed term agreement without penalty, for example, by the giving of 4 </w:t>
      </w:r>
      <w:proofErr w:type="spellStart"/>
      <w:r>
        <w:t>weeks notice</w:t>
      </w:r>
      <w:proofErr w:type="spellEnd"/>
      <w:r>
        <w:t xml:space="preserve">, or where there are urgent circumstances requiring short notice relocation. </w:t>
      </w:r>
    </w:p>
    <w:p w14:paraId="617259BA" w14:textId="4E39961A" w:rsidR="008A5400" w:rsidRDefault="00902CC4" w:rsidP="0005626D">
      <w:r>
        <w:t xml:space="preserve">Together, the impact of this change is to give tenants the right to stay in </w:t>
      </w:r>
      <w:r w:rsidR="001915BB">
        <w:t xml:space="preserve">their home for as long as they like, </w:t>
      </w:r>
      <w:r w:rsidR="005F03A1">
        <w:t xml:space="preserve">while allowing them to leave without penalty with appropriate notice. </w:t>
      </w:r>
    </w:p>
    <w:sectPr w:rsidR="008A5400" w:rsidSect="006F5FA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1C2FA" w14:textId="77777777" w:rsidR="00A21D29" w:rsidRDefault="00A21D29" w:rsidP="006F5FA9">
      <w:pPr>
        <w:spacing w:after="0" w:line="240" w:lineRule="auto"/>
      </w:pPr>
      <w:r>
        <w:separator/>
      </w:r>
    </w:p>
  </w:endnote>
  <w:endnote w:type="continuationSeparator" w:id="0">
    <w:p w14:paraId="126DC448" w14:textId="77777777" w:rsidR="00A21D29" w:rsidRDefault="00A21D29" w:rsidP="006F5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E6FF9" w14:textId="77777777" w:rsidR="00C8506C" w:rsidRDefault="00C850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5CE0C" w14:textId="77777777" w:rsidR="00C8506C" w:rsidRDefault="00C850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9E9B8" w14:textId="77777777" w:rsidR="00C8506C" w:rsidRDefault="00C850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4C7B7" w14:textId="77777777" w:rsidR="00A21D29" w:rsidRDefault="00A21D29" w:rsidP="006F5FA9">
      <w:pPr>
        <w:spacing w:after="0" w:line="240" w:lineRule="auto"/>
      </w:pPr>
      <w:r>
        <w:separator/>
      </w:r>
    </w:p>
  </w:footnote>
  <w:footnote w:type="continuationSeparator" w:id="0">
    <w:p w14:paraId="2E44D61E" w14:textId="77777777" w:rsidR="00A21D29" w:rsidRDefault="00A21D29" w:rsidP="006F5FA9">
      <w:pPr>
        <w:spacing w:after="0" w:line="240" w:lineRule="auto"/>
      </w:pPr>
      <w:r>
        <w:continuationSeparator/>
      </w:r>
    </w:p>
  </w:footnote>
  <w:footnote w:id="1">
    <w:p w14:paraId="3404D9A3" w14:textId="741BBA22" w:rsidR="00014CB0" w:rsidRDefault="00014CB0">
      <w:pPr>
        <w:pStyle w:val="FootnoteText"/>
      </w:pPr>
      <w:r>
        <w:rPr>
          <w:rStyle w:val="FootnoteReference"/>
        </w:rPr>
        <w:footnoteRef/>
      </w:r>
      <w:r>
        <w:t xml:space="preserve"> </w:t>
      </w:r>
      <w:hyperlink r:id="rId1" w:history="1">
        <w:r w:rsidRPr="00277878">
          <w:rPr>
            <w:rStyle w:val="Hyperlink"/>
          </w:rPr>
          <w:t>https://melbourneinstitute.unimelb.edu.au/__data/assets/pdf_file/0011/5636288/HILDA-Statistical-Report-2026.pdf</w:t>
        </w:r>
      </w:hyperlink>
      <w:r>
        <w:t>, p 146 table 11.1</w:t>
      </w:r>
    </w:p>
  </w:footnote>
  <w:footnote w:id="2">
    <w:p w14:paraId="4419CD6C" w14:textId="4201265D" w:rsidR="00502216" w:rsidRDefault="00502216">
      <w:pPr>
        <w:pStyle w:val="FootnoteText"/>
      </w:pPr>
      <w:r>
        <w:rPr>
          <w:rStyle w:val="FootnoteReference"/>
        </w:rPr>
        <w:footnoteRef/>
      </w:r>
      <w:hyperlink r:id="rId2" w:history="1">
        <w:r w:rsidRPr="00277878">
          <w:rPr>
            <w:rStyle w:val="Hyperlink"/>
          </w:rPr>
          <w:t>https://files.parliament.nsw.gov.au/fileapi/ParlFiles/GetArtifact/0138%20Rental%20Commissioner,%20NSW%20Fair%20Trading.pdf?serverRelativeUrl=%2Flcdocs%2Fsubmissions%2F85075%2F0138%20Rental%20Commissioner,%20NSW%20Fair%20Trading.pdf</w:t>
        </w:r>
      </w:hyperlink>
      <w:r>
        <w:t xml:space="preserve"> </w:t>
      </w:r>
    </w:p>
  </w:footnote>
  <w:footnote w:id="3">
    <w:p w14:paraId="01AF1850" w14:textId="0688EEEC" w:rsidR="00CF550D" w:rsidRDefault="00CF550D">
      <w:pPr>
        <w:pStyle w:val="FootnoteText"/>
      </w:pPr>
      <w:r>
        <w:rPr>
          <w:rStyle w:val="FootnoteReference"/>
        </w:rPr>
        <w:footnoteRef/>
      </w:r>
      <w:r>
        <w:t xml:space="preserve"> </w:t>
      </w:r>
      <w:hyperlink r:id="rId3" w:history="1">
        <w:r w:rsidRPr="00277878">
          <w:rPr>
            <w:rStyle w:val="Hyperlink"/>
          </w:rPr>
          <w:t>https://dcj.nsw.gov.au/about-us/families-and-communities-statistics/housing-rent-and-sales/rent-and-sales-report/rent-and-sales-dashboard.html</w:t>
        </w:r>
      </w:hyperlink>
      <w:r>
        <w:t xml:space="preserve"> </w:t>
      </w:r>
    </w:p>
  </w:footnote>
  <w:footnote w:id="4">
    <w:p w14:paraId="1FD7D260" w14:textId="614A8FC3" w:rsidR="00AC2A10" w:rsidRDefault="00AC2A10">
      <w:pPr>
        <w:pStyle w:val="FootnoteText"/>
      </w:pPr>
      <w:r>
        <w:rPr>
          <w:rStyle w:val="FootnoteReference"/>
        </w:rPr>
        <w:footnoteRef/>
      </w:r>
      <w:r>
        <w:t xml:space="preserve"> </w:t>
      </w:r>
      <w:hyperlink r:id="rId4" w:history="1">
        <w:r w:rsidRPr="00277878">
          <w:rPr>
            <w:rStyle w:val="Hyperlink"/>
          </w:rPr>
          <w:t>https://www.smh.com.au/property/news/grossly-unaffordable-sydney-rents-hit-record-highs-20260626-p60acw.html</w:t>
        </w:r>
      </w:hyperlink>
      <w:r>
        <w:t xml:space="preserve"> </w:t>
      </w:r>
    </w:p>
  </w:footnote>
  <w:footnote w:id="5">
    <w:p w14:paraId="3739BBAE" w14:textId="13C4D207" w:rsidR="008606AC" w:rsidRDefault="008606AC">
      <w:pPr>
        <w:pStyle w:val="FootnoteText"/>
      </w:pPr>
      <w:r>
        <w:rPr>
          <w:rStyle w:val="FootnoteReference"/>
        </w:rPr>
        <w:footnoteRef/>
      </w:r>
      <w:r>
        <w:t xml:space="preserve"> </w:t>
      </w:r>
      <w:hyperlink r:id="rId5" w:history="1">
        <w:r w:rsidRPr="00277878">
          <w:rPr>
            <w:rStyle w:val="Hyperlink"/>
          </w:rPr>
          <w:t>https://everybodyshome.com.au/resources/priced-out-an-income-test-for-australias-rental-market/</w:t>
        </w:r>
      </w:hyperlink>
      <w:r>
        <w:t xml:space="preserve"> </w:t>
      </w:r>
    </w:p>
  </w:footnote>
  <w:footnote w:id="6">
    <w:p w14:paraId="1F56A4A9" w14:textId="4DF710DC" w:rsidR="00566EB5" w:rsidRDefault="00566EB5">
      <w:pPr>
        <w:pStyle w:val="FootnoteText"/>
      </w:pPr>
      <w:r>
        <w:rPr>
          <w:rStyle w:val="FootnoteReference"/>
        </w:rPr>
        <w:footnoteRef/>
      </w:r>
      <w:r>
        <w:t xml:space="preserve"> </w:t>
      </w:r>
      <w:hyperlink r:id="rId6" w:history="1">
        <w:r w:rsidRPr="00277878">
          <w:rPr>
            <w:rStyle w:val="Hyperlink"/>
          </w:rPr>
          <w:t>https://digital.anglicare.org.au/rental-affordability-snapshot-2026/</w:t>
        </w:r>
      </w:hyperlink>
      <w:r>
        <w:t xml:space="preserve"> </w:t>
      </w:r>
    </w:p>
  </w:footnote>
  <w:footnote w:id="7">
    <w:p w14:paraId="7AEB509F" w14:textId="70EED1D7" w:rsidR="00D04FB2" w:rsidRDefault="00D04FB2">
      <w:pPr>
        <w:pStyle w:val="FootnoteText"/>
      </w:pPr>
      <w:r>
        <w:rPr>
          <w:rStyle w:val="FootnoteReference"/>
        </w:rPr>
        <w:footnoteRef/>
      </w:r>
      <w:r>
        <w:t xml:space="preserve"> </w:t>
      </w:r>
      <w:hyperlink r:id="rId7" w:history="1">
        <w:r w:rsidRPr="00277878">
          <w:rPr>
            <w:rStyle w:val="Hyperlink"/>
          </w:rPr>
          <w:t>https://ncoss.org.au/wp-content/uploads/2026/06/NCOSS_CostOfLivingSnapshot_JUNE26_ART_R2_web-1.pdf</w:t>
        </w:r>
      </w:hyperlink>
      <w:r>
        <w:t xml:space="preserve"> </w:t>
      </w:r>
    </w:p>
  </w:footnote>
  <w:footnote w:id="8">
    <w:p w14:paraId="40689A54" w14:textId="22E794AB" w:rsidR="007465FD" w:rsidRDefault="007465FD">
      <w:pPr>
        <w:pStyle w:val="FootnoteText"/>
      </w:pPr>
      <w:r>
        <w:rPr>
          <w:rStyle w:val="FootnoteReference"/>
        </w:rPr>
        <w:footnoteRef/>
      </w:r>
      <w:r>
        <w:t xml:space="preserve"> </w:t>
      </w:r>
      <w:hyperlink r:id="rId8" w:history="1">
        <w:r w:rsidRPr="00277878">
          <w:rPr>
            <w:rStyle w:val="Hyperlink"/>
          </w:rPr>
          <w:t>https://dcj.nsw.gov.au/about-us/families-and-communities-statistics/social-housing-waiting-list-data/waitlist-dashboard.html</w:t>
        </w:r>
      </w:hyperlink>
      <w:r>
        <w:t xml:space="preserve"> </w:t>
      </w:r>
    </w:p>
  </w:footnote>
  <w:footnote w:id="9">
    <w:p w14:paraId="6F7CA2A2" w14:textId="77777777" w:rsidR="001F75FE" w:rsidRPr="003E2F6D" w:rsidRDefault="001F75FE" w:rsidP="001F75FE">
      <w:pPr>
        <w:pStyle w:val="FootnoteText"/>
        <w:rPr>
          <w:lang w:val="en-US"/>
        </w:rPr>
      </w:pPr>
      <w:r>
        <w:rPr>
          <w:rStyle w:val="FootnoteReference"/>
        </w:rPr>
        <w:footnoteRef/>
      </w:r>
      <w:r>
        <w:t xml:space="preserve"> </w:t>
      </w:r>
      <w:hyperlink r:id="rId9" w:history="1">
        <w:r w:rsidRPr="00A51020">
          <w:rPr>
            <w:rStyle w:val="Hyperlink"/>
          </w:rPr>
          <w:t>https://dcj.nsw.gov.au/about-us/families-and-communities-statistics/housing-rent-and-sales/rent-and-sales-report/rent-and-sales-dashboard.html</w:t>
        </w:r>
      </w:hyperlink>
      <w:r>
        <w:t xml:space="preserve"> </w:t>
      </w:r>
    </w:p>
  </w:footnote>
  <w:footnote w:id="10">
    <w:p w14:paraId="1B780855" w14:textId="77777777" w:rsidR="001F75FE" w:rsidRPr="008A5745" w:rsidRDefault="001F75FE" w:rsidP="001F75FE">
      <w:pPr>
        <w:pStyle w:val="FootnoteText"/>
        <w:rPr>
          <w:lang w:val="en-US"/>
        </w:rPr>
      </w:pPr>
      <w:r>
        <w:rPr>
          <w:rStyle w:val="FootnoteReference"/>
        </w:rPr>
        <w:footnoteRef/>
      </w:r>
      <w:r>
        <w:t xml:space="preserve"> </w:t>
      </w:r>
      <w:hyperlink r:id="rId10" w:history="1">
        <w:r w:rsidRPr="00A51020">
          <w:rPr>
            <w:rStyle w:val="Hyperlink"/>
          </w:rPr>
          <w:t>https://www.smh.com.au/politics/federal/rents-spike-up-to-80-per-cent-as-people-are-pushed-from-homes-to-units-20260821-p60qei.html</w:t>
        </w:r>
      </w:hyperlink>
    </w:p>
  </w:footnote>
  <w:footnote w:id="11">
    <w:p w14:paraId="732F4B9B" w14:textId="77777777" w:rsidR="0081629F" w:rsidRPr="005615FB" w:rsidRDefault="0081629F" w:rsidP="0081629F">
      <w:pPr>
        <w:pStyle w:val="FootnoteText"/>
        <w:rPr>
          <w:lang w:val="en-US"/>
        </w:rPr>
      </w:pPr>
      <w:r>
        <w:rPr>
          <w:rStyle w:val="FootnoteReference"/>
        </w:rPr>
        <w:footnoteRef/>
      </w:r>
      <w:r>
        <w:t xml:space="preserve"> </w:t>
      </w:r>
      <w:hyperlink r:id="rId11" w:history="1">
        <w:r w:rsidRPr="00A51020">
          <w:rPr>
            <w:rStyle w:val="Hyperlink"/>
          </w:rPr>
          <w:t>https://australiainstitute.org.au/post/overwhelming-majority-of-australians-back-government-intervention-to-tackle-rental-crisis/</w:t>
        </w:r>
      </w:hyperlink>
      <w:r>
        <w:t xml:space="preserve"> </w:t>
      </w:r>
    </w:p>
  </w:footnote>
  <w:footnote w:id="12">
    <w:p w14:paraId="67FFFEC3" w14:textId="77777777" w:rsidR="0081629F" w:rsidRPr="001262DF" w:rsidRDefault="0081629F" w:rsidP="0081629F">
      <w:pPr>
        <w:pStyle w:val="FootnoteText"/>
        <w:rPr>
          <w:lang w:val="en-US"/>
        </w:rPr>
      </w:pPr>
      <w:r>
        <w:rPr>
          <w:rStyle w:val="FootnoteReference"/>
        </w:rPr>
        <w:footnoteRef/>
      </w:r>
      <w:r>
        <w:t xml:space="preserve"> </w:t>
      </w:r>
      <w:hyperlink r:id="rId12" w:history="1">
        <w:r w:rsidRPr="005F6AFC">
          <w:rPr>
            <w:rStyle w:val="Hyperlink"/>
          </w:rPr>
          <w:t>https://www.theguardian.com/australia-news/2023/aug/22/essential-poll-australia-rental-crisis-prices-rise-cap-housing-inflation-economy</w:t>
        </w:r>
      </w:hyperlink>
      <w:r>
        <w:t xml:space="preserve"> </w:t>
      </w:r>
    </w:p>
  </w:footnote>
  <w:footnote w:id="13">
    <w:p w14:paraId="7DC15CA7" w14:textId="49D2A381" w:rsidR="00C17780" w:rsidRDefault="00C17780">
      <w:pPr>
        <w:pStyle w:val="FootnoteText"/>
      </w:pPr>
      <w:r>
        <w:rPr>
          <w:rStyle w:val="FootnoteReference"/>
        </w:rPr>
        <w:footnoteRef/>
      </w:r>
      <w:r>
        <w:t xml:space="preserve"> </w:t>
      </w:r>
      <w:hyperlink r:id="rId13" w:history="1">
        <w:r w:rsidRPr="00856C56">
          <w:rPr>
            <w:rStyle w:val="Hyperlink"/>
          </w:rPr>
          <w:t>https://www.smh.com.au/property/news/where-landlords-have-been-able-to-put-rents-up-most-and-least-20260210-p5o0xx.html</w:t>
        </w:r>
      </w:hyperlink>
      <w:r>
        <w:t xml:space="preserve"> </w:t>
      </w:r>
    </w:p>
  </w:footnote>
  <w:footnote w:id="14">
    <w:p w14:paraId="08871BEC" w14:textId="77777777" w:rsidR="001F75FE" w:rsidRDefault="001F75FE" w:rsidP="001F75FE">
      <w:pPr>
        <w:pStyle w:val="FootnoteText"/>
      </w:pPr>
      <w:r>
        <w:rPr>
          <w:rStyle w:val="FootnoteReference"/>
        </w:rPr>
        <w:footnoteRef/>
      </w:r>
      <w:r>
        <w:t xml:space="preserve"> </w:t>
      </w:r>
      <w:hyperlink r:id="rId14" w:history="1">
        <w:r w:rsidRPr="00277878">
          <w:rPr>
            <w:rStyle w:val="Hyperlink"/>
          </w:rPr>
          <w:t>https://files.tenants.org.au/policy/2023-11-RentRegulation-Sisson.pdf</w:t>
        </w:r>
      </w:hyperlink>
      <w:r>
        <w:t xml:space="preserve"> </w:t>
      </w:r>
    </w:p>
  </w:footnote>
  <w:footnote w:id="15">
    <w:p w14:paraId="4246CFE0" w14:textId="77777777" w:rsidR="001F75FE" w:rsidRPr="001F3F4E" w:rsidRDefault="001F75FE" w:rsidP="001F75FE">
      <w:pPr>
        <w:pStyle w:val="FootnoteText"/>
        <w:rPr>
          <w:lang w:val="en-US"/>
        </w:rPr>
      </w:pPr>
      <w:r>
        <w:rPr>
          <w:rStyle w:val="FootnoteReference"/>
        </w:rPr>
        <w:footnoteRef/>
      </w:r>
      <w:r>
        <w:t xml:space="preserve"> </w:t>
      </w:r>
      <w:hyperlink r:id="rId15" w:history="1">
        <w:r w:rsidRPr="005F6AFC">
          <w:rPr>
            <w:rStyle w:val="Hyperlink"/>
          </w:rPr>
          <w:t>https://www.tenants.org.au/tu/policy-priorities</w:t>
        </w:r>
      </w:hyperlink>
      <w:r>
        <w:t xml:space="preserve"> </w:t>
      </w:r>
    </w:p>
  </w:footnote>
  <w:footnote w:id="16">
    <w:p w14:paraId="31A1A57C" w14:textId="77777777" w:rsidR="001F75FE" w:rsidRPr="00201C19" w:rsidRDefault="001F75FE" w:rsidP="001F75FE">
      <w:pPr>
        <w:pStyle w:val="FootnoteText"/>
        <w:rPr>
          <w:lang w:val="en-US"/>
        </w:rPr>
      </w:pPr>
      <w:r>
        <w:rPr>
          <w:rStyle w:val="FootnoteReference"/>
        </w:rPr>
        <w:footnoteRef/>
      </w:r>
      <w:r>
        <w:t xml:space="preserve"> </w:t>
      </w:r>
      <w:hyperlink r:id="rId16" w:history="1">
        <w:r w:rsidRPr="005F6AFC">
          <w:rPr>
            <w:rStyle w:val="Hyperlink"/>
          </w:rPr>
          <w:t>https://shelternsw.org.au/news_items/better-regulation-of-rent-increases/</w:t>
        </w:r>
      </w:hyperlink>
      <w:r>
        <w:t xml:space="preserve"> </w:t>
      </w:r>
    </w:p>
  </w:footnote>
  <w:footnote w:id="17">
    <w:p w14:paraId="2156491C" w14:textId="77777777" w:rsidR="001F75FE" w:rsidRPr="008B085E" w:rsidRDefault="001F75FE" w:rsidP="001F75FE">
      <w:pPr>
        <w:pStyle w:val="FootnoteText"/>
        <w:rPr>
          <w:lang w:val="en-US"/>
        </w:rPr>
      </w:pPr>
      <w:r>
        <w:rPr>
          <w:rStyle w:val="FootnoteReference"/>
        </w:rPr>
        <w:footnoteRef/>
      </w:r>
      <w:r>
        <w:t xml:space="preserve"> </w:t>
      </w:r>
      <w:hyperlink r:id="rId17" w:history="1">
        <w:r w:rsidRPr="005F6AFC">
          <w:rPr>
            <w:rStyle w:val="Hyperlink"/>
          </w:rPr>
          <w:t>https://homelessnessnsw.org.au/unit-rents-soar-as-homelessness-nsw-calls-for-protections/</w:t>
        </w:r>
      </w:hyperlink>
      <w:r>
        <w:t xml:space="preserve"> </w:t>
      </w:r>
    </w:p>
  </w:footnote>
  <w:footnote w:id="18">
    <w:p w14:paraId="063F8075" w14:textId="77777777" w:rsidR="001F75FE" w:rsidRPr="00A22A57" w:rsidRDefault="001F75FE" w:rsidP="001F75FE">
      <w:pPr>
        <w:pStyle w:val="FootnoteText"/>
        <w:rPr>
          <w:lang w:val="en-US"/>
        </w:rPr>
      </w:pPr>
      <w:r>
        <w:rPr>
          <w:rStyle w:val="FootnoteReference"/>
        </w:rPr>
        <w:footnoteRef/>
      </w:r>
      <w:r>
        <w:t xml:space="preserve"> </w:t>
      </w:r>
      <w:hyperlink r:id="rId18" w:history="1">
        <w:r w:rsidRPr="005F6AFC">
          <w:rPr>
            <w:rStyle w:val="Hyperlink"/>
          </w:rPr>
          <w:t>https://ncoss.org.au/areas-of-work/publications/ncoss-analysis-nsw-budget-2023-24/</w:t>
        </w:r>
      </w:hyperlink>
      <w:r>
        <w:t xml:space="preserve"> </w:t>
      </w:r>
    </w:p>
  </w:footnote>
  <w:footnote w:id="19">
    <w:p w14:paraId="4D2FAE58" w14:textId="77777777" w:rsidR="001F75FE" w:rsidRPr="00E017A9" w:rsidRDefault="001F75FE" w:rsidP="001F75FE">
      <w:pPr>
        <w:pStyle w:val="FootnoteText"/>
        <w:rPr>
          <w:lang w:val="en-US"/>
        </w:rPr>
      </w:pPr>
      <w:r>
        <w:rPr>
          <w:rStyle w:val="FootnoteReference"/>
        </w:rPr>
        <w:footnoteRef/>
      </w:r>
      <w:r>
        <w:t xml:space="preserve"> </w:t>
      </w:r>
      <w:hyperlink r:id="rId19" w:history="1">
        <w:r w:rsidRPr="005F6AFC">
          <w:rPr>
            <w:rStyle w:val="Hyperlink"/>
          </w:rPr>
          <w:t>https://everybodyshome.com.au/take-action/a-fair-go-for-renters/</w:t>
        </w:r>
      </w:hyperlink>
      <w:r>
        <w:t xml:space="preserve"> </w:t>
      </w:r>
    </w:p>
  </w:footnote>
  <w:footnote w:id="20">
    <w:p w14:paraId="6F4D2BD8" w14:textId="77777777" w:rsidR="001F75FE" w:rsidRDefault="001F75FE" w:rsidP="001F75FE">
      <w:pPr>
        <w:pStyle w:val="FootnoteText"/>
      </w:pPr>
      <w:r>
        <w:rPr>
          <w:rStyle w:val="FootnoteReference"/>
        </w:rPr>
        <w:footnoteRef/>
      </w:r>
      <w:r>
        <w:t xml:space="preserve"> </w:t>
      </w:r>
      <w:hyperlink r:id="rId20" w:history="1">
        <w:r w:rsidRPr="00856C56">
          <w:rPr>
            <w:rStyle w:val="Hyperlink"/>
          </w:rPr>
          <w:t>https://www.parliament.nsw.gov.au/parliamentary-business/hansard/hansard-full-details?id=HANSARD-1323879322-170205&amp;section=HANSARD-1323879322-170216</w:t>
        </w:r>
      </w:hyperlink>
      <w:r>
        <w:t xml:space="preserve"> </w:t>
      </w:r>
    </w:p>
    <w:p w14:paraId="7E97FA98" w14:textId="77777777" w:rsidR="001F75FE" w:rsidRDefault="001F75FE" w:rsidP="001F75FE">
      <w:pPr>
        <w:pStyle w:val="FootnoteText"/>
      </w:pPr>
      <w:r w:rsidRPr="00FF0B3D">
        <w:rPr>
          <w:b/>
          <w:bCs/>
        </w:rPr>
        <w:t xml:space="preserve">FOR </w:t>
      </w:r>
      <w:r>
        <w:rPr>
          <w:b/>
          <w:bCs/>
        </w:rPr>
        <w:t xml:space="preserve">CLIPPED </w:t>
      </w:r>
      <w:r w:rsidRPr="00FF0B3D">
        <w:rPr>
          <w:b/>
          <w:bCs/>
        </w:rPr>
        <w:t>VIDEO</w:t>
      </w:r>
      <w:r>
        <w:rPr>
          <w:b/>
          <w:bCs/>
        </w:rPr>
        <w:t xml:space="preserve"> OF QUESTION TIME</w:t>
      </w:r>
      <w:r w:rsidRPr="00FF0B3D">
        <w:rPr>
          <w:b/>
          <w:bCs/>
        </w:rPr>
        <w:t xml:space="preserve"> -&gt; </w:t>
      </w:r>
      <w:hyperlink r:id="rId21" w:history="1">
        <w:r w:rsidRPr="00FF0B3D">
          <w:rPr>
            <w:rStyle w:val="Hyperlink"/>
          </w:rPr>
          <w:t>https://drive.google.com/file/d/1wCRF3M6aHv8LJA6ukPPYqk8NfQy0Ux_l/view?usp=drive_link</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A30F3" w14:textId="77777777" w:rsidR="00C8506C" w:rsidRDefault="00C850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526AE" w14:textId="77777777" w:rsidR="00C8506C" w:rsidRDefault="00C850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1BF51" w14:textId="669D726C" w:rsidR="006F5FA9" w:rsidRDefault="007642AD">
    <w:pPr>
      <w:pStyle w:val="Header"/>
    </w:pPr>
    <w:r>
      <w:rPr>
        <w:noProof/>
      </w:rPr>
      <w:drawing>
        <wp:anchor distT="0" distB="0" distL="114300" distR="114300" simplePos="0" relativeHeight="251658240" behindDoc="1" locked="0" layoutInCell="1" allowOverlap="1" wp14:anchorId="6A183237" wp14:editId="05488FC8">
          <wp:simplePos x="0" y="0"/>
          <wp:positionH relativeFrom="column">
            <wp:posOffset>-895350</wp:posOffset>
          </wp:positionH>
          <wp:positionV relativeFrom="paragraph">
            <wp:posOffset>-449580</wp:posOffset>
          </wp:positionV>
          <wp:extent cx="5731510" cy="1094105"/>
          <wp:effectExtent l="0" t="0" r="2540" b="0"/>
          <wp:wrapTight wrapText="bothSides">
            <wp:wrapPolygon edited="0">
              <wp:start x="0" y="0"/>
              <wp:lineTo x="0" y="21061"/>
              <wp:lineTo x="21538" y="21061"/>
              <wp:lineTo x="21538" y="0"/>
              <wp:lineTo x="0" y="0"/>
            </wp:wrapPolygon>
          </wp:wrapTight>
          <wp:docPr id="853557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109410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854F7"/>
    <w:multiLevelType w:val="hybridMultilevel"/>
    <w:tmpl w:val="76F6203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8030A26"/>
    <w:multiLevelType w:val="hybridMultilevel"/>
    <w:tmpl w:val="0DEA2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497A6D"/>
    <w:multiLevelType w:val="hybridMultilevel"/>
    <w:tmpl w:val="D16CB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FFB3936"/>
    <w:multiLevelType w:val="hybridMultilevel"/>
    <w:tmpl w:val="32DA3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8B80542"/>
    <w:multiLevelType w:val="hybridMultilevel"/>
    <w:tmpl w:val="EC12241E"/>
    <w:lvl w:ilvl="0" w:tplc="CA6E5400">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38D12A6"/>
    <w:multiLevelType w:val="hybridMultilevel"/>
    <w:tmpl w:val="D5FA682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4F025DF"/>
    <w:multiLevelType w:val="hybridMultilevel"/>
    <w:tmpl w:val="3B8249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6BDD5883"/>
    <w:multiLevelType w:val="hybridMultilevel"/>
    <w:tmpl w:val="ACE8AD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25213014">
    <w:abstractNumId w:val="7"/>
  </w:num>
  <w:num w:numId="2" w16cid:durableId="238902599">
    <w:abstractNumId w:val="0"/>
  </w:num>
  <w:num w:numId="3" w16cid:durableId="1437942467">
    <w:abstractNumId w:val="1"/>
  </w:num>
  <w:num w:numId="4" w16cid:durableId="1537546585">
    <w:abstractNumId w:val="2"/>
  </w:num>
  <w:num w:numId="5" w16cid:durableId="391806925">
    <w:abstractNumId w:val="3"/>
  </w:num>
  <w:num w:numId="6" w16cid:durableId="832524285">
    <w:abstractNumId w:val="5"/>
  </w:num>
  <w:num w:numId="7" w16cid:durableId="1866140000">
    <w:abstractNumId w:val="6"/>
  </w:num>
  <w:num w:numId="8" w16cid:durableId="1641744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AF8"/>
    <w:rsid w:val="000014E2"/>
    <w:rsid w:val="00014CB0"/>
    <w:rsid w:val="000234A2"/>
    <w:rsid w:val="000366FF"/>
    <w:rsid w:val="0005626D"/>
    <w:rsid w:val="00065CC0"/>
    <w:rsid w:val="00096888"/>
    <w:rsid w:val="000C3456"/>
    <w:rsid w:val="000D3AF8"/>
    <w:rsid w:val="000D4499"/>
    <w:rsid w:val="000E127F"/>
    <w:rsid w:val="001262DF"/>
    <w:rsid w:val="00133208"/>
    <w:rsid w:val="00136FA6"/>
    <w:rsid w:val="001434E0"/>
    <w:rsid w:val="00170860"/>
    <w:rsid w:val="00174DD8"/>
    <w:rsid w:val="001915BB"/>
    <w:rsid w:val="00195FD3"/>
    <w:rsid w:val="001B3A1C"/>
    <w:rsid w:val="001F3F4E"/>
    <w:rsid w:val="001F75FE"/>
    <w:rsid w:val="00201C19"/>
    <w:rsid w:val="00227D21"/>
    <w:rsid w:val="00250C36"/>
    <w:rsid w:val="002719A6"/>
    <w:rsid w:val="00291BFF"/>
    <w:rsid w:val="002A03FB"/>
    <w:rsid w:val="002A14D0"/>
    <w:rsid w:val="002B23FA"/>
    <w:rsid w:val="002B3870"/>
    <w:rsid w:val="002C57C4"/>
    <w:rsid w:val="002E740C"/>
    <w:rsid w:val="002F0539"/>
    <w:rsid w:val="00301663"/>
    <w:rsid w:val="00350FDB"/>
    <w:rsid w:val="00351626"/>
    <w:rsid w:val="0037626E"/>
    <w:rsid w:val="00383770"/>
    <w:rsid w:val="003B6B5E"/>
    <w:rsid w:val="003E0E1B"/>
    <w:rsid w:val="003E2F6D"/>
    <w:rsid w:val="003E62B2"/>
    <w:rsid w:val="00405EC5"/>
    <w:rsid w:val="004077DE"/>
    <w:rsid w:val="00416517"/>
    <w:rsid w:val="00422936"/>
    <w:rsid w:val="004249CF"/>
    <w:rsid w:val="00432122"/>
    <w:rsid w:val="00446318"/>
    <w:rsid w:val="004543A2"/>
    <w:rsid w:val="004732E2"/>
    <w:rsid w:val="00474C0A"/>
    <w:rsid w:val="0047664D"/>
    <w:rsid w:val="0049397C"/>
    <w:rsid w:val="004C65F6"/>
    <w:rsid w:val="004F0506"/>
    <w:rsid w:val="00502216"/>
    <w:rsid w:val="0051292D"/>
    <w:rsid w:val="0052166D"/>
    <w:rsid w:val="00522893"/>
    <w:rsid w:val="00523B1C"/>
    <w:rsid w:val="00526DAD"/>
    <w:rsid w:val="00531906"/>
    <w:rsid w:val="00535E20"/>
    <w:rsid w:val="005449F2"/>
    <w:rsid w:val="005615FB"/>
    <w:rsid w:val="005667DE"/>
    <w:rsid w:val="00566EB5"/>
    <w:rsid w:val="00585924"/>
    <w:rsid w:val="00595855"/>
    <w:rsid w:val="005D08F9"/>
    <w:rsid w:val="005D0A7B"/>
    <w:rsid w:val="005E4BCE"/>
    <w:rsid w:val="005F03A1"/>
    <w:rsid w:val="005F7E92"/>
    <w:rsid w:val="0060410D"/>
    <w:rsid w:val="00606E7F"/>
    <w:rsid w:val="00617F8D"/>
    <w:rsid w:val="00621973"/>
    <w:rsid w:val="00626C91"/>
    <w:rsid w:val="00630C7F"/>
    <w:rsid w:val="00642F5D"/>
    <w:rsid w:val="00674B60"/>
    <w:rsid w:val="006804DE"/>
    <w:rsid w:val="006C33F5"/>
    <w:rsid w:val="006C6041"/>
    <w:rsid w:val="006F5FA9"/>
    <w:rsid w:val="0071440C"/>
    <w:rsid w:val="00725085"/>
    <w:rsid w:val="0073061C"/>
    <w:rsid w:val="007465FD"/>
    <w:rsid w:val="007642AD"/>
    <w:rsid w:val="00773101"/>
    <w:rsid w:val="0078017A"/>
    <w:rsid w:val="007950A4"/>
    <w:rsid w:val="007A1251"/>
    <w:rsid w:val="007B477A"/>
    <w:rsid w:val="007B5BEA"/>
    <w:rsid w:val="007D0EC9"/>
    <w:rsid w:val="007E116E"/>
    <w:rsid w:val="00804030"/>
    <w:rsid w:val="0081629F"/>
    <w:rsid w:val="00821F93"/>
    <w:rsid w:val="00823C85"/>
    <w:rsid w:val="0083279F"/>
    <w:rsid w:val="008606AC"/>
    <w:rsid w:val="00864A24"/>
    <w:rsid w:val="008657EF"/>
    <w:rsid w:val="008A066C"/>
    <w:rsid w:val="008A5400"/>
    <w:rsid w:val="008A5745"/>
    <w:rsid w:val="008B085E"/>
    <w:rsid w:val="008B156F"/>
    <w:rsid w:val="008B4230"/>
    <w:rsid w:val="008C5633"/>
    <w:rsid w:val="008C6A32"/>
    <w:rsid w:val="008E4B30"/>
    <w:rsid w:val="008F17BB"/>
    <w:rsid w:val="009024A0"/>
    <w:rsid w:val="00902C4A"/>
    <w:rsid w:val="00902CC4"/>
    <w:rsid w:val="009071DD"/>
    <w:rsid w:val="00907C88"/>
    <w:rsid w:val="00946DC8"/>
    <w:rsid w:val="0096261D"/>
    <w:rsid w:val="0097586E"/>
    <w:rsid w:val="009760DC"/>
    <w:rsid w:val="00991A1D"/>
    <w:rsid w:val="009A1325"/>
    <w:rsid w:val="009A4379"/>
    <w:rsid w:val="009C3DA2"/>
    <w:rsid w:val="009E4BE8"/>
    <w:rsid w:val="009E57A3"/>
    <w:rsid w:val="009E62AB"/>
    <w:rsid w:val="00A11538"/>
    <w:rsid w:val="00A12DCA"/>
    <w:rsid w:val="00A21D29"/>
    <w:rsid w:val="00A22A57"/>
    <w:rsid w:val="00A335D8"/>
    <w:rsid w:val="00A37E10"/>
    <w:rsid w:val="00A507B9"/>
    <w:rsid w:val="00A629D2"/>
    <w:rsid w:val="00A643CF"/>
    <w:rsid w:val="00AA2887"/>
    <w:rsid w:val="00AC2A10"/>
    <w:rsid w:val="00AC69F1"/>
    <w:rsid w:val="00AD686A"/>
    <w:rsid w:val="00B25992"/>
    <w:rsid w:val="00B3105F"/>
    <w:rsid w:val="00B32401"/>
    <w:rsid w:val="00B34ACE"/>
    <w:rsid w:val="00B35219"/>
    <w:rsid w:val="00B362D3"/>
    <w:rsid w:val="00B72DCA"/>
    <w:rsid w:val="00B74306"/>
    <w:rsid w:val="00B754B0"/>
    <w:rsid w:val="00B82B9D"/>
    <w:rsid w:val="00BA1995"/>
    <w:rsid w:val="00BB2560"/>
    <w:rsid w:val="00BC2A0C"/>
    <w:rsid w:val="00BD0539"/>
    <w:rsid w:val="00C17780"/>
    <w:rsid w:val="00C36033"/>
    <w:rsid w:val="00C46A4A"/>
    <w:rsid w:val="00C47199"/>
    <w:rsid w:val="00C82F1F"/>
    <w:rsid w:val="00C8506C"/>
    <w:rsid w:val="00CA17BD"/>
    <w:rsid w:val="00CB7E8D"/>
    <w:rsid w:val="00CC2742"/>
    <w:rsid w:val="00CC6D56"/>
    <w:rsid w:val="00CD1AC8"/>
    <w:rsid w:val="00CD1D36"/>
    <w:rsid w:val="00CD45E0"/>
    <w:rsid w:val="00CD5C40"/>
    <w:rsid w:val="00CE4A63"/>
    <w:rsid w:val="00CF550D"/>
    <w:rsid w:val="00D005B6"/>
    <w:rsid w:val="00D04FB2"/>
    <w:rsid w:val="00D05F2C"/>
    <w:rsid w:val="00D06407"/>
    <w:rsid w:val="00D13F38"/>
    <w:rsid w:val="00D1447A"/>
    <w:rsid w:val="00D30B9F"/>
    <w:rsid w:val="00D417EC"/>
    <w:rsid w:val="00D52B4C"/>
    <w:rsid w:val="00D87D96"/>
    <w:rsid w:val="00DB0FC3"/>
    <w:rsid w:val="00DB3DD8"/>
    <w:rsid w:val="00DE051B"/>
    <w:rsid w:val="00DE7C64"/>
    <w:rsid w:val="00E017A9"/>
    <w:rsid w:val="00E12BCE"/>
    <w:rsid w:val="00E22A2B"/>
    <w:rsid w:val="00E24307"/>
    <w:rsid w:val="00E27977"/>
    <w:rsid w:val="00E50F87"/>
    <w:rsid w:val="00E6192E"/>
    <w:rsid w:val="00E65EB3"/>
    <w:rsid w:val="00E66CBF"/>
    <w:rsid w:val="00E92914"/>
    <w:rsid w:val="00E93C90"/>
    <w:rsid w:val="00EA4305"/>
    <w:rsid w:val="00EB235C"/>
    <w:rsid w:val="00EC0447"/>
    <w:rsid w:val="00EC3714"/>
    <w:rsid w:val="00EF20A9"/>
    <w:rsid w:val="00F26557"/>
    <w:rsid w:val="00F31D16"/>
    <w:rsid w:val="00F31FFE"/>
    <w:rsid w:val="00F32275"/>
    <w:rsid w:val="00F417A2"/>
    <w:rsid w:val="00F5260C"/>
    <w:rsid w:val="00F745CF"/>
    <w:rsid w:val="00F752AE"/>
    <w:rsid w:val="00F877A7"/>
    <w:rsid w:val="00FB15CD"/>
    <w:rsid w:val="00FC3B07"/>
    <w:rsid w:val="00FD02B3"/>
    <w:rsid w:val="00FE40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0226E"/>
  <w15:chartTrackingRefBased/>
  <w15:docId w15:val="{20346383-E4F9-423F-A7E5-8A2A0EC2F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A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A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A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A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A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A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A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A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A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A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A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A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A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A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A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A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A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AF8"/>
    <w:rPr>
      <w:rFonts w:eastAsiaTheme="majorEastAsia" w:cstheme="majorBidi"/>
      <w:color w:val="272727" w:themeColor="text1" w:themeTint="D8"/>
    </w:rPr>
  </w:style>
  <w:style w:type="paragraph" w:styleId="Title">
    <w:name w:val="Title"/>
    <w:basedOn w:val="Normal"/>
    <w:next w:val="Normal"/>
    <w:link w:val="TitleChar"/>
    <w:uiPriority w:val="10"/>
    <w:qFormat/>
    <w:rsid w:val="000D3A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A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A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A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AF8"/>
    <w:pPr>
      <w:spacing w:before="160"/>
      <w:jc w:val="center"/>
    </w:pPr>
    <w:rPr>
      <w:i/>
      <w:iCs/>
      <w:color w:val="404040" w:themeColor="text1" w:themeTint="BF"/>
    </w:rPr>
  </w:style>
  <w:style w:type="character" w:customStyle="1" w:styleId="QuoteChar">
    <w:name w:val="Quote Char"/>
    <w:basedOn w:val="DefaultParagraphFont"/>
    <w:link w:val="Quote"/>
    <w:uiPriority w:val="29"/>
    <w:rsid w:val="000D3AF8"/>
    <w:rPr>
      <w:i/>
      <w:iCs/>
      <w:color w:val="404040" w:themeColor="text1" w:themeTint="BF"/>
    </w:rPr>
  </w:style>
  <w:style w:type="paragraph" w:styleId="ListParagraph">
    <w:name w:val="List Paragraph"/>
    <w:basedOn w:val="Normal"/>
    <w:uiPriority w:val="34"/>
    <w:qFormat/>
    <w:rsid w:val="000D3AF8"/>
    <w:pPr>
      <w:ind w:left="720"/>
      <w:contextualSpacing/>
    </w:pPr>
  </w:style>
  <w:style w:type="character" w:styleId="IntenseEmphasis">
    <w:name w:val="Intense Emphasis"/>
    <w:basedOn w:val="DefaultParagraphFont"/>
    <w:uiPriority w:val="21"/>
    <w:qFormat/>
    <w:rsid w:val="000D3AF8"/>
    <w:rPr>
      <w:i/>
      <w:iCs/>
      <w:color w:val="0F4761" w:themeColor="accent1" w:themeShade="BF"/>
    </w:rPr>
  </w:style>
  <w:style w:type="paragraph" w:styleId="IntenseQuote">
    <w:name w:val="Intense Quote"/>
    <w:basedOn w:val="Normal"/>
    <w:next w:val="Normal"/>
    <w:link w:val="IntenseQuoteChar"/>
    <w:uiPriority w:val="30"/>
    <w:qFormat/>
    <w:rsid w:val="000D3A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AF8"/>
    <w:rPr>
      <w:i/>
      <w:iCs/>
      <w:color w:val="0F4761" w:themeColor="accent1" w:themeShade="BF"/>
    </w:rPr>
  </w:style>
  <w:style w:type="character" w:styleId="IntenseReference">
    <w:name w:val="Intense Reference"/>
    <w:basedOn w:val="DefaultParagraphFont"/>
    <w:uiPriority w:val="32"/>
    <w:qFormat/>
    <w:rsid w:val="000D3AF8"/>
    <w:rPr>
      <w:b/>
      <w:bCs/>
      <w:smallCaps/>
      <w:color w:val="0F4761" w:themeColor="accent1" w:themeShade="BF"/>
      <w:spacing w:val="5"/>
    </w:rPr>
  </w:style>
  <w:style w:type="paragraph" w:styleId="Header">
    <w:name w:val="header"/>
    <w:basedOn w:val="Normal"/>
    <w:link w:val="HeaderChar"/>
    <w:uiPriority w:val="99"/>
    <w:unhideWhenUsed/>
    <w:rsid w:val="006F5F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5FA9"/>
  </w:style>
  <w:style w:type="paragraph" w:styleId="Footer">
    <w:name w:val="footer"/>
    <w:basedOn w:val="Normal"/>
    <w:link w:val="FooterChar"/>
    <w:uiPriority w:val="99"/>
    <w:unhideWhenUsed/>
    <w:rsid w:val="006F5F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5FA9"/>
  </w:style>
  <w:style w:type="paragraph" w:styleId="FootnoteText">
    <w:name w:val="footnote text"/>
    <w:basedOn w:val="Normal"/>
    <w:link w:val="FootnoteTextChar"/>
    <w:uiPriority w:val="99"/>
    <w:semiHidden/>
    <w:unhideWhenUsed/>
    <w:rsid w:val="00014C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4CB0"/>
    <w:rPr>
      <w:sz w:val="20"/>
      <w:szCs w:val="20"/>
    </w:rPr>
  </w:style>
  <w:style w:type="character" w:styleId="FootnoteReference">
    <w:name w:val="footnote reference"/>
    <w:basedOn w:val="DefaultParagraphFont"/>
    <w:uiPriority w:val="99"/>
    <w:semiHidden/>
    <w:unhideWhenUsed/>
    <w:rsid w:val="00014CB0"/>
    <w:rPr>
      <w:vertAlign w:val="superscript"/>
    </w:rPr>
  </w:style>
  <w:style w:type="character" w:styleId="Hyperlink">
    <w:name w:val="Hyperlink"/>
    <w:basedOn w:val="DefaultParagraphFont"/>
    <w:uiPriority w:val="99"/>
    <w:unhideWhenUsed/>
    <w:rsid w:val="00014CB0"/>
    <w:rPr>
      <w:color w:val="467886" w:themeColor="hyperlink"/>
      <w:u w:val="single"/>
    </w:rPr>
  </w:style>
  <w:style w:type="character" w:styleId="UnresolvedMention">
    <w:name w:val="Unresolved Mention"/>
    <w:basedOn w:val="DefaultParagraphFont"/>
    <w:uiPriority w:val="99"/>
    <w:semiHidden/>
    <w:unhideWhenUsed/>
    <w:rsid w:val="00014CB0"/>
    <w:rPr>
      <w:color w:val="605E5C"/>
      <w:shd w:val="clear" w:color="auto" w:fill="E1DFDD"/>
    </w:rPr>
  </w:style>
  <w:style w:type="paragraph" w:styleId="TOCHeading">
    <w:name w:val="TOC Heading"/>
    <w:basedOn w:val="Heading1"/>
    <w:next w:val="Normal"/>
    <w:uiPriority w:val="39"/>
    <w:unhideWhenUsed/>
    <w:qFormat/>
    <w:rsid w:val="007B477A"/>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7B477A"/>
    <w:pPr>
      <w:spacing w:after="100"/>
    </w:pPr>
  </w:style>
  <w:style w:type="character" w:styleId="FollowedHyperlink">
    <w:name w:val="FollowedHyperlink"/>
    <w:basedOn w:val="DefaultParagraphFont"/>
    <w:uiPriority w:val="99"/>
    <w:semiHidden/>
    <w:unhideWhenUsed/>
    <w:rsid w:val="00416517"/>
    <w:rPr>
      <w:color w:val="96607D" w:themeColor="followedHyperlink"/>
      <w:u w:val="single"/>
    </w:rPr>
  </w:style>
  <w:style w:type="table" w:styleId="GridTable4-Accent1">
    <w:name w:val="Grid Table 4 Accent 1"/>
    <w:basedOn w:val="TableNormal"/>
    <w:uiPriority w:val="49"/>
    <w:rsid w:val="00F31D1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CommentReference">
    <w:name w:val="annotation reference"/>
    <w:basedOn w:val="DefaultParagraphFont"/>
    <w:uiPriority w:val="99"/>
    <w:semiHidden/>
    <w:unhideWhenUsed/>
    <w:rsid w:val="00174DD8"/>
    <w:rPr>
      <w:sz w:val="16"/>
      <w:szCs w:val="16"/>
    </w:rPr>
  </w:style>
  <w:style w:type="paragraph" w:styleId="CommentText">
    <w:name w:val="annotation text"/>
    <w:basedOn w:val="Normal"/>
    <w:link w:val="CommentTextChar"/>
    <w:uiPriority w:val="99"/>
    <w:unhideWhenUsed/>
    <w:rsid w:val="00174DD8"/>
    <w:pPr>
      <w:spacing w:line="240" w:lineRule="auto"/>
    </w:pPr>
    <w:rPr>
      <w:sz w:val="20"/>
      <w:szCs w:val="20"/>
    </w:rPr>
  </w:style>
  <w:style w:type="character" w:customStyle="1" w:styleId="CommentTextChar">
    <w:name w:val="Comment Text Char"/>
    <w:basedOn w:val="DefaultParagraphFont"/>
    <w:link w:val="CommentText"/>
    <w:uiPriority w:val="99"/>
    <w:rsid w:val="00174DD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dcj.nsw.gov.au/about-us/families-and-communities-statistics/social-housing-waiting-list-data/waitlist-dashboard.html" TargetMode="External"/><Relationship Id="rId13" Type="http://schemas.openxmlformats.org/officeDocument/2006/relationships/hyperlink" Target="https://www.smh.com.au/property/news/where-landlords-have-been-able-to-put-rents-up-most-and-least-20260210-p5o0xx.html" TargetMode="External"/><Relationship Id="rId18" Type="http://schemas.openxmlformats.org/officeDocument/2006/relationships/hyperlink" Target="https://ncoss.org.au/areas-of-work/publications/ncoss-analysis-nsw-budget-2023-24/" TargetMode="External"/><Relationship Id="rId3" Type="http://schemas.openxmlformats.org/officeDocument/2006/relationships/hyperlink" Target="https://dcj.nsw.gov.au/about-us/families-and-communities-statistics/housing-rent-and-sales/rent-and-sales-report/rent-and-sales-dashboard.html" TargetMode="External"/><Relationship Id="rId21" Type="http://schemas.openxmlformats.org/officeDocument/2006/relationships/hyperlink" Target="https://url.au.m.mimecastprotect.com/s/scYtC0YxYRHmN5lnt2iP7s9Fxzk?domain=drive.google.com" TargetMode="External"/><Relationship Id="rId7" Type="http://schemas.openxmlformats.org/officeDocument/2006/relationships/hyperlink" Target="https://ncoss.org.au/wp-content/uploads/2026/06/NCOSS_CostOfLivingSnapshot_JUNE26_ART_R2_web-1.pdf" TargetMode="External"/><Relationship Id="rId12" Type="http://schemas.openxmlformats.org/officeDocument/2006/relationships/hyperlink" Target="https://www.theguardian.com/australia-news/2023/aug/22/essential-poll-australia-rental-crisis-prices-rise-cap-housing-inflation-economy" TargetMode="External"/><Relationship Id="rId17" Type="http://schemas.openxmlformats.org/officeDocument/2006/relationships/hyperlink" Target="https://homelessnessnsw.org.au/unit-rents-soar-as-homelessness-nsw-calls-for-protections/" TargetMode="External"/><Relationship Id="rId2" Type="http://schemas.openxmlformats.org/officeDocument/2006/relationships/hyperlink" Target="https://files.parliament.nsw.gov.au/fileapi/ParlFiles/GetArtifact/0138%20Rental%20Commissioner,%20NSW%20Fair%20Trading.pdf?serverRelativeUrl=%2Flcdocs%2Fsubmissions%2F85075%2F0138%20Rental%20Commissioner,%20NSW%20Fair%20Trading.pdf" TargetMode="External"/><Relationship Id="rId16" Type="http://schemas.openxmlformats.org/officeDocument/2006/relationships/hyperlink" Target="https://shelternsw.org.au/news_items/better-regulation-of-rent-increases/" TargetMode="External"/><Relationship Id="rId20" Type="http://schemas.openxmlformats.org/officeDocument/2006/relationships/hyperlink" Target="https://www.parliament.nsw.gov.au/parliamentary-business/hansard/hansard-full-details?id=HANSARD-1323879322-170205&amp;section=HANSARD-1323879322-170216" TargetMode="External"/><Relationship Id="rId1" Type="http://schemas.openxmlformats.org/officeDocument/2006/relationships/hyperlink" Target="https://melbourneinstitute.unimelb.edu.au/__data/assets/pdf_file/0011/5636288/HILDA-Statistical-Report-2026.pdf" TargetMode="External"/><Relationship Id="rId6" Type="http://schemas.openxmlformats.org/officeDocument/2006/relationships/hyperlink" Target="https://digital.anglicare.org.au/rental-affordability-snapshot-2026/" TargetMode="External"/><Relationship Id="rId11" Type="http://schemas.openxmlformats.org/officeDocument/2006/relationships/hyperlink" Target="https://australiainstitute.org.au/post/overwhelming-majority-of-australians-back-government-intervention-to-tackle-rental-crisis/" TargetMode="External"/><Relationship Id="rId5" Type="http://schemas.openxmlformats.org/officeDocument/2006/relationships/hyperlink" Target="https://everybodyshome.com.au/resources/priced-out-an-income-test-for-australias-rental-market/" TargetMode="External"/><Relationship Id="rId15" Type="http://schemas.openxmlformats.org/officeDocument/2006/relationships/hyperlink" Target="https://www.tenants.org.au/tu/policy-priorities" TargetMode="External"/><Relationship Id="rId10" Type="http://schemas.openxmlformats.org/officeDocument/2006/relationships/hyperlink" Target="https://www.smh.com.au/politics/federal/rents-spike-up-to-80-per-cent-as-people-are-pushed-from-homes-to-units-20260821-p60qei.html" TargetMode="External"/><Relationship Id="rId19" Type="http://schemas.openxmlformats.org/officeDocument/2006/relationships/hyperlink" Target="https://everybodyshome.com.au/take-action/a-fair-go-for-renters/" TargetMode="External"/><Relationship Id="rId4" Type="http://schemas.openxmlformats.org/officeDocument/2006/relationships/hyperlink" Target="https://www.smh.com.au/property/news/grossly-unaffordable-sydney-rents-hit-record-highs-20260626-p60acw.html" TargetMode="External"/><Relationship Id="rId9" Type="http://schemas.openxmlformats.org/officeDocument/2006/relationships/hyperlink" Target="https://dcj.nsw.gov.au/about-us/families-and-communities-statistics/housing-rent-and-sales/rent-and-sales-report/rent-and-sales-dashboard.html" TargetMode="External"/><Relationship Id="rId14" Type="http://schemas.openxmlformats.org/officeDocument/2006/relationships/hyperlink" Target="https://files.tenants.org.au/policy/2023-11-RentRegulation-Sisson.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b18e989-2463-4489-92c5-e375e1e0b7a0" xsi:nil="true"/>
    <Dateuploaded xmlns="e796aef6-9c7f-4ca0-8391-e5756074090a" xsi:nil="true"/>
    <Person xmlns="e796aef6-9c7f-4ca0-8391-e5756074090a">
      <UserInfo>
        <DisplayName/>
        <AccountId xsi:nil="true"/>
        <AccountType/>
      </UserInfo>
    </Person>
    <lcf76f155ced4ddcb4097134ff3c332f xmlns="e796aef6-9c7f-4ca0-8391-e5756074090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870ED5FFDB094984127CBE6B091044" ma:contentTypeVersion="17" ma:contentTypeDescription="Create a new document." ma:contentTypeScope="" ma:versionID="e69a480327759753b56d7f2cb0db6e32">
  <xsd:schema xmlns:xsd="http://www.w3.org/2001/XMLSchema" xmlns:xs="http://www.w3.org/2001/XMLSchema" xmlns:p="http://schemas.microsoft.com/office/2006/metadata/properties" xmlns:ns2="e796aef6-9c7f-4ca0-8391-e5756074090a" xmlns:ns3="3b18e989-2463-4489-92c5-e375e1e0b7a0" targetNamespace="http://schemas.microsoft.com/office/2006/metadata/properties" ma:root="true" ma:fieldsID="42ed5124e10369cc2dfba9433f57f5db" ns2:_="" ns3:_="">
    <xsd:import namespace="e796aef6-9c7f-4ca0-8391-e5756074090a"/>
    <xsd:import namespace="3b18e989-2463-4489-92c5-e375e1e0b7a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CR" minOccurs="0"/>
                <xsd:element ref="ns2:MediaServiceLocation" minOccurs="0"/>
                <xsd:element ref="ns2:Dateuploaded" minOccurs="0"/>
                <xsd:element ref="ns2:Per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96aef6-9c7f-4ca0-8391-e575607409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4c8df9e-14f5-4b9a-9553-705b710dccc8"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Dateuploaded" ma:index="23" nillable="true" ma:displayName="Date uploaded" ma:format="DateOnly" ma:internalName="Dateuploaded">
      <xsd:simpleType>
        <xsd:restriction base="dms:DateTime"/>
      </xsd:simpleType>
    </xsd:element>
    <xsd:element name="Person" ma:index="2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b18e989-2463-4489-92c5-e375e1e0b7a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3ff2553-5b0e-42aa-be21-c83b14dcd9a1}" ma:internalName="TaxCatchAll" ma:showField="CatchAllData" ma:web="3b18e989-2463-4489-92c5-e375e1e0b7a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78876-CB44-4F41-8BE5-E99A5AB3C1DF}">
  <ds:schemaRefs>
    <ds:schemaRef ds:uri="http://schemas.microsoft.com/office/2006/metadata/properties"/>
    <ds:schemaRef ds:uri="http://schemas.microsoft.com/office/infopath/2007/PartnerControls"/>
    <ds:schemaRef ds:uri="3b18e989-2463-4489-92c5-e375e1e0b7a0"/>
    <ds:schemaRef ds:uri="e796aef6-9c7f-4ca0-8391-e5756074090a"/>
  </ds:schemaRefs>
</ds:datastoreItem>
</file>

<file path=customXml/itemProps2.xml><?xml version="1.0" encoding="utf-8"?>
<ds:datastoreItem xmlns:ds="http://schemas.openxmlformats.org/officeDocument/2006/customXml" ds:itemID="{CB4814EB-AA1D-4F01-9582-FA2C14DF2439}">
  <ds:schemaRefs>
    <ds:schemaRef ds:uri="http://schemas.microsoft.com/sharepoint/v3/contenttype/forms"/>
  </ds:schemaRefs>
</ds:datastoreItem>
</file>

<file path=customXml/itemProps3.xml><?xml version="1.0" encoding="utf-8"?>
<ds:datastoreItem xmlns:ds="http://schemas.openxmlformats.org/officeDocument/2006/customXml" ds:itemID="{522C8123-F546-4E36-8A36-DADC6589E2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96aef6-9c7f-4ca0-8391-e5756074090a"/>
    <ds:schemaRef ds:uri="3b18e989-2463-4489-92c5-e375e1e0b7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6952D0-A4F4-4667-A564-857ADC90F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8</Pages>
  <Words>2120</Words>
  <Characters>12084</Characters>
  <Application>Microsoft Office Word</Application>
  <DocSecurity>0</DocSecurity>
  <Lines>100</Lines>
  <Paragraphs>28</Paragraphs>
  <ScaleCrop>false</ScaleCrop>
  <Company/>
  <LinksUpToDate>false</LinksUpToDate>
  <CharactersWithSpaces>14176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Kiat</dc:creator>
  <cp:keywords/>
  <dc:description/>
  <cp:lastModifiedBy>Tom Kiat</cp:lastModifiedBy>
  <cp:revision>189</cp:revision>
  <dcterms:created xsi:type="dcterms:W3CDTF">2026-10-07T23:03:00Z</dcterms:created>
  <dcterms:modified xsi:type="dcterms:W3CDTF">2026-10-22T03:48:00Z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0x010100A9870ED5FFDB094984127CBE6B091044</vt:lpwstr>
  </property>
  <property fmtid="{D5CDD505-2E9C-101B-9397-08002B2CF9AE}" pid="3" name="MediaServiceImageTags">
    <vt:lpwstr/>
  </property>
  <property fmtid="{D5CDD505-2E9C-101B-9397-08002B2CF9AE}" pid="4" name="docLang">
    <vt:lpwstr>en</vt:lpwstr>
  </property>
</Properties>
</file>